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in the United States began as a tool to address the persisting inequalities for African Americans in the 1960s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