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Court found that the University of Michigan Law School's narrowly-tailored policy which considered race and other factors, with no quota or predetermined weight associated with the factors, was constitutional and appropriate 'to further a compelling interest in obtaining the educational benefits that flow from a diverse student body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