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were echoes of the public outcry which had brought about the 1905 Act and the political arguments, in public at least, similarly attempted to focus on the economic control of migrant labour and attempted to skirt around the underlying racial prejudices that were voiced by their constituents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