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conclusion of Wilson v. Midway Games, Inc. was, according to the court case report, 'Wilson's complaint fails to state a claim upon which relief can be granted.,0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