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These results were after controlling for grades, scores, family background (legacy status) and athletic status (whether or not the student was a recruited athlete) [REF].;0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