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effect, however, may be intentional, as less-funded, less competitive schools are more likely to be schools where minority enrollment is high.;0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