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concept and application of affirmative action has developed since its inception, though its motivation remains the same.;0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