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as a practice was upheld by the court's decision in Grutter v. Bollinger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