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Proponents argue that the measure ensures that the civil rights of Caucasians, South Indians, and South East-Asians are protected by ensuring parity between races.;0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