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1, 149 Wn.2d 660, 72 P.3d 151 (2003), 2003 The Washington State Supreme Court interpreted I-200 to forbid affirmative actions that promote a "less qualified" applicant over a "better qualified" one, but not programs that sought to achieve diversity without consideration of individual merit.;0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