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Later the U.S. Supreme Court decided that racial classifications that benefited underrepresented minorities were to only be upheld if necessary and promoted a compelling governmental purpose.;0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