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Grutter v. Bollinger, 2003 The U.S. Supreme Court ruled 5-4 that race could be used as one of several factors in professional school admissions without necessarily violating the equal protection clause of the 14th Amendment.;0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