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Court found that the University of Michigan Law School's narrowly-tailored policy which considered race and other factors, with no quota or predetermined weight associated with the factors, was constitutional and appropriate "to further a compelling interest in obtaining the educational benefits that flow from a diverse student body.";0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