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Proponents argue that the measure ensures that the civil rights of Caucasians, South Indians, and South East-Asians are protected by ensuring parity between races.;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