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found that the University of Michigan Law School's narrowly-tailored policy which considered race and other factors, with no quota or predetermined weight associated with the factors, was constitutional and appropriate "to further a compelling interest in obtaining the educational benefits that flow from a diverse student body.";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