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short-term the aggressive cognitions, affects and arousal are posited to increase while long-term effects are asserted to be possible, but not yet accurately determined.,0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