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four-two-one reconfiguration of the familial structure has distinct ramifications for Chinese society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