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individual savings rate has increased since the one-child policy was introduced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