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study compared personal income to personal gambling expenditure and found that gambling occurs whether or not the country is in a recession. This aspect will attract states to invest in a institution that is basically recession-proof. During the Early 1990s recession, GGR (Gross Gambling Revenue) increased 9.4% even though the recession slowed personal income to 5.95%. This shows reslience of gambling to the effects of recessions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