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first generation of conditional cash transfers (e.g. Mexico's Oportunidades and Brazil's Bolsa Familia) have been marked by good implementation with respect to targeting, general administration and impact evaluation. These programs have been proven to be very effective in reducing poverty in the short term since they have helped to increase household income and consumption in poor families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