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Because of the possibility the tests were biased in violation of Title VII of the Civil Rights Act,[REF][REF] no candidates were promoted pending outcome of the controversy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