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|- Penn 21.2% 30.1% + 42.0%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