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32A0" w14:textId="77777777" w:rsidR="002529D9" w:rsidRDefault="0030576C" w:rsidP="00500859">
      <w:pPr>
        <w:jc w:val="center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>202</w:t>
      </w:r>
      <w:r w:rsidR="001F1F98">
        <w:rPr>
          <w:rFonts w:ascii="標楷體" w:eastAsia="標楷體" w:hAnsi="標楷體" w:hint="eastAsia"/>
          <w:b/>
          <w:bCs/>
          <w:sz w:val="36"/>
          <w:szCs w:val="36"/>
        </w:rPr>
        <w:t>6第六</w:t>
      </w:r>
      <w:r w:rsidR="002D6CB7" w:rsidRPr="007D5164">
        <w:rPr>
          <w:rFonts w:ascii="標楷體" w:eastAsia="標楷體" w:hAnsi="標楷體" w:hint="eastAsia"/>
          <w:b/>
          <w:bCs/>
          <w:sz w:val="36"/>
          <w:szCs w:val="36"/>
        </w:rPr>
        <w:t>屆工商時報數位金融獎</w:t>
      </w:r>
      <w:r w:rsidR="002D6CB7">
        <w:rPr>
          <w:rFonts w:ascii="標楷體" w:eastAsia="標楷體" w:hAnsi="標楷體" w:hint="eastAsia"/>
          <w:b/>
          <w:bCs/>
          <w:sz w:val="36"/>
          <w:szCs w:val="36"/>
        </w:rPr>
        <w:t xml:space="preserve"> 參選</w:t>
      </w:r>
      <w:r w:rsidR="00062E1A">
        <w:rPr>
          <w:rFonts w:ascii="標楷體" w:eastAsia="標楷體" w:hAnsi="標楷體" w:hint="eastAsia"/>
          <w:b/>
          <w:bCs/>
          <w:sz w:val="36"/>
          <w:szCs w:val="36"/>
        </w:rPr>
        <w:t>資料表</w:t>
      </w:r>
    </w:p>
    <w:p w14:paraId="349E102C" w14:textId="77777777" w:rsidR="002D6CB7" w:rsidRDefault="002D6CB7" w:rsidP="002D6CB7">
      <w:pPr>
        <w:pStyle w:val="a6"/>
        <w:tabs>
          <w:tab w:val="left" w:pos="480"/>
        </w:tabs>
        <w:snapToGrid/>
        <w:spacing w:line="0" w:lineRule="atLeast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8836DF">
        <w:rPr>
          <w:rFonts w:ascii="標楷體" w:eastAsia="標楷體" w:hAnsi="標楷體" w:hint="eastAsia"/>
          <w:b/>
          <w:bCs/>
          <w:sz w:val="40"/>
          <w:szCs w:val="40"/>
        </w:rPr>
        <w:t>【</w:t>
      </w:r>
      <w:r w:rsidR="004E7AF4" w:rsidRPr="004E7AF4">
        <w:rPr>
          <w:rFonts w:ascii="標楷體" w:eastAsia="標楷體" w:hAnsi="標楷體" w:hint="eastAsia"/>
          <w:b/>
          <w:bCs/>
          <w:sz w:val="40"/>
          <w:szCs w:val="40"/>
        </w:rPr>
        <w:t>AI 智能實踐典範獎</w:t>
      </w:r>
      <w:r w:rsidRPr="008836DF">
        <w:rPr>
          <w:rFonts w:ascii="標楷體" w:eastAsia="標楷體" w:hAnsi="標楷體" w:hint="eastAsia"/>
          <w:b/>
          <w:bCs/>
          <w:sz w:val="40"/>
          <w:szCs w:val="40"/>
        </w:rPr>
        <w:t>】</w:t>
      </w:r>
    </w:p>
    <w:p w14:paraId="2EDF3EFA" w14:textId="77777777" w:rsidR="00D90C63" w:rsidRDefault="00D90C63" w:rsidP="002D6CB7">
      <w:pPr>
        <w:pStyle w:val="a6"/>
        <w:tabs>
          <w:tab w:val="left" w:pos="480"/>
        </w:tabs>
        <w:snapToGrid/>
        <w:spacing w:line="0" w:lineRule="atLeast"/>
        <w:jc w:val="center"/>
        <w:rPr>
          <w:rFonts w:ascii="標楷體" w:eastAsia="標楷體" w:hAnsi="標楷體"/>
          <w:b/>
          <w:bCs/>
          <w:sz w:val="40"/>
          <w:szCs w:val="40"/>
        </w:rPr>
      </w:pPr>
    </w:p>
    <w:tbl>
      <w:tblPr>
        <w:tblW w:w="9049" w:type="dxa"/>
        <w:jc w:val="center"/>
        <w:tblBorders>
          <w:top w:val="single" w:sz="18" w:space="0" w:color="0D0D0D" w:themeColor="text1" w:themeTint="F2"/>
          <w:left w:val="single" w:sz="18" w:space="0" w:color="0D0D0D" w:themeColor="text1" w:themeTint="F2"/>
          <w:bottom w:val="single" w:sz="18" w:space="0" w:color="0D0D0D" w:themeColor="text1" w:themeTint="F2"/>
          <w:right w:val="single" w:sz="18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1"/>
        <w:gridCol w:w="6758"/>
      </w:tblGrid>
      <w:tr w:rsidR="00DD6DC1" w14:paraId="53B14AB2" w14:textId="77777777" w:rsidTr="00DD6DC1">
        <w:trPr>
          <w:cantSplit/>
          <w:trHeight w:val="887"/>
          <w:jc w:val="center"/>
        </w:trPr>
        <w:tc>
          <w:tcPr>
            <w:tcW w:w="9049" w:type="dxa"/>
            <w:gridSpan w:val="2"/>
            <w:vAlign w:val="center"/>
          </w:tcPr>
          <w:p w14:paraId="457FD23D" w14:textId="77777777" w:rsidR="00DD6DC1" w:rsidRDefault="00DD6DC1" w:rsidP="006C2AC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F685E">
              <w:rPr>
                <w:rFonts w:ascii="標楷體" w:eastAsia="標楷體" w:hAnsi="標楷體" w:hint="eastAsia"/>
                <w:bCs/>
                <w:sz w:val="36"/>
                <w:szCs w:val="40"/>
              </w:rPr>
              <w:t>公司基本資料</w:t>
            </w:r>
          </w:p>
        </w:tc>
      </w:tr>
      <w:tr w:rsidR="002B3C62" w14:paraId="479EEAE6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  <w:hideMark/>
          </w:tcPr>
          <w:p w14:paraId="538B7504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公司名稱</w:t>
            </w:r>
          </w:p>
        </w:tc>
        <w:tc>
          <w:tcPr>
            <w:tcW w:w="6758" w:type="dxa"/>
            <w:vAlign w:val="center"/>
            <w:hideMark/>
          </w:tcPr>
          <w:p w14:paraId="2814F8F1" w14:textId="2B1DC6BF" w:rsidR="002B3C62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526D06">
              <w:rPr>
                <w:rFonts w:ascii="微軟正黑體" w:eastAsia="微軟正黑體" w:hAnsi="微軟正黑體" w:hint="eastAsia"/>
                <w:color w:val="000000"/>
                <w:sz w:val="26"/>
                <w:szCs w:val="26"/>
              </w:rPr>
              <w:t>富邦綜合證券股份公司</w:t>
            </w:r>
          </w:p>
        </w:tc>
      </w:tr>
      <w:tr w:rsidR="002B3C62" w14:paraId="198E15CF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</w:tcPr>
          <w:p w14:paraId="36A65FFC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公司成立時間</w:t>
            </w:r>
          </w:p>
        </w:tc>
        <w:tc>
          <w:tcPr>
            <w:tcW w:w="6758" w:type="dxa"/>
            <w:vAlign w:val="center"/>
          </w:tcPr>
          <w:p w14:paraId="27BD05A3" w14:textId="305E558B" w:rsidR="002B3C62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6"/>
                <w:szCs w:val="26"/>
              </w:rPr>
              <w:t>1988年7月成立</w:t>
            </w:r>
          </w:p>
        </w:tc>
      </w:tr>
      <w:tr w:rsidR="002B3C62" w14:paraId="71573DDD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  <w:hideMark/>
          </w:tcPr>
          <w:p w14:paraId="7AE766A2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登記資本額</w:t>
            </w:r>
          </w:p>
        </w:tc>
        <w:tc>
          <w:tcPr>
            <w:tcW w:w="6758" w:type="dxa"/>
            <w:vAlign w:val="center"/>
          </w:tcPr>
          <w:p w14:paraId="1A595D26" w14:textId="7F85CD36" w:rsidR="002B3C62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B51556">
              <w:rPr>
                <w:rFonts w:ascii="微軟正黑體" w:eastAsia="微軟正黑體" w:hAnsi="微軟正黑體"/>
                <w:color w:val="000000"/>
                <w:sz w:val="26"/>
                <w:szCs w:val="26"/>
              </w:rPr>
              <w:t>16</w:t>
            </w:r>
            <w:r>
              <w:rPr>
                <w:rFonts w:ascii="微軟正黑體" w:eastAsia="微軟正黑體" w:hAnsi="微軟正黑體"/>
                <w:color w:val="000000"/>
                <w:sz w:val="26"/>
                <w:szCs w:val="26"/>
              </w:rPr>
              <w:t>,</w:t>
            </w:r>
            <w:r w:rsidRPr="00B51556">
              <w:rPr>
                <w:rFonts w:ascii="微軟正黑體" w:eastAsia="微軟正黑體" w:hAnsi="微軟正黑體"/>
                <w:color w:val="000000"/>
                <w:sz w:val="26"/>
                <w:szCs w:val="26"/>
              </w:rPr>
              <w:t>258</w:t>
            </w:r>
            <w:r>
              <w:rPr>
                <w:rFonts w:ascii="微軟正黑體" w:eastAsia="微軟正黑體" w:hAnsi="微軟正黑體"/>
                <w:color w:val="000000"/>
                <w:sz w:val="26"/>
                <w:szCs w:val="26"/>
              </w:rPr>
              <w:t>,</w:t>
            </w:r>
            <w:r w:rsidRPr="00B51556">
              <w:rPr>
                <w:rFonts w:ascii="微軟正黑體" w:eastAsia="微軟正黑體" w:hAnsi="微軟正黑體"/>
                <w:color w:val="000000"/>
                <w:sz w:val="26"/>
                <w:szCs w:val="26"/>
              </w:rPr>
              <w:t>551</w:t>
            </w:r>
            <w:r w:rsidRPr="00F06DA8">
              <w:rPr>
                <w:rFonts w:ascii="微軟正黑體" w:eastAsia="微軟正黑體" w:hAnsi="微軟正黑體"/>
                <w:color w:val="000000"/>
                <w:sz w:val="26"/>
                <w:szCs w:val="26"/>
              </w:rPr>
              <w:t>仟元</w:t>
            </w:r>
          </w:p>
        </w:tc>
      </w:tr>
      <w:tr w:rsidR="002B3C62" w14:paraId="5C684CEC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</w:tcPr>
          <w:p w14:paraId="3AED36EE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營收規模</w:t>
            </w:r>
          </w:p>
        </w:tc>
        <w:tc>
          <w:tcPr>
            <w:tcW w:w="6758" w:type="dxa"/>
            <w:vAlign w:val="center"/>
          </w:tcPr>
          <w:p w14:paraId="396114D0" w14:textId="4B1E9FE1" w:rsidR="002B3C62" w:rsidRPr="0085778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392B7D">
              <w:rPr>
                <w:rFonts w:ascii="微軟正黑體" w:eastAsia="微軟正黑體" w:hAnsi="微軟正黑體"/>
                <w:color w:val="000000"/>
                <w:sz w:val="26"/>
                <w:szCs w:val="26"/>
              </w:rPr>
              <w:t>25,191,413仟元</w:t>
            </w:r>
            <w:r>
              <w:rPr>
                <w:rFonts w:ascii="微軟正黑體" w:eastAsia="微軟正黑體" w:hAnsi="微軟正黑體" w:hint="eastAsia"/>
                <w:color w:val="000000"/>
                <w:sz w:val="26"/>
                <w:szCs w:val="26"/>
              </w:rPr>
              <w:t>(2024年)</w:t>
            </w:r>
          </w:p>
        </w:tc>
      </w:tr>
      <w:tr w:rsidR="002B3C62" w14:paraId="46E83721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</w:tcPr>
          <w:p w14:paraId="285BE003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員工人數</w:t>
            </w:r>
          </w:p>
        </w:tc>
        <w:tc>
          <w:tcPr>
            <w:tcW w:w="6758" w:type="dxa"/>
            <w:vAlign w:val="center"/>
          </w:tcPr>
          <w:p w14:paraId="2824D093" w14:textId="77777777" w:rsidR="002B3C62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57789">
              <w:rPr>
                <w:rFonts w:ascii="標楷體" w:eastAsia="標楷體" w:hAnsi="標楷體" w:hint="eastAsia"/>
                <w:sz w:val="28"/>
                <w:szCs w:val="28"/>
              </w:rPr>
              <w:t>在台正式員工數</w:t>
            </w:r>
            <w:r w:rsidRPr="0085778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2700</w:t>
            </w:r>
            <w:r w:rsidRPr="0085778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</w:t>
            </w:r>
            <w:r w:rsidRPr="00857789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  <w:p w14:paraId="0C76DC25" w14:textId="27625B37" w:rsidR="002B3C62" w:rsidRPr="0085778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57789">
              <w:rPr>
                <w:rFonts w:ascii="標楷體" w:eastAsia="標楷體" w:hAnsi="標楷體" w:hint="eastAsia"/>
                <w:sz w:val="28"/>
                <w:szCs w:val="28"/>
              </w:rPr>
              <w:t>(不含兼職、約聘、派遣、外包、時薪人員)</w:t>
            </w:r>
          </w:p>
        </w:tc>
      </w:tr>
      <w:tr w:rsidR="002B3C62" w14:paraId="1785BB3E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</w:tcPr>
          <w:p w14:paraId="5597D5F6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分支據點</w:t>
            </w:r>
          </w:p>
        </w:tc>
        <w:tc>
          <w:tcPr>
            <w:tcW w:w="6758" w:type="dxa"/>
            <w:vAlign w:val="center"/>
          </w:tcPr>
          <w:p w14:paraId="3CF82A90" w14:textId="03520F39" w:rsidR="002B3C62" w:rsidRPr="0085778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6"/>
                <w:szCs w:val="26"/>
              </w:rPr>
              <w:t>5</w:t>
            </w:r>
            <w:r>
              <w:rPr>
                <w:rFonts w:ascii="微軟正黑體" w:eastAsia="微軟正黑體" w:hAnsi="微軟正黑體"/>
                <w:color w:val="000000"/>
                <w:sz w:val="26"/>
                <w:szCs w:val="26"/>
              </w:rPr>
              <w:t>4</w:t>
            </w:r>
          </w:p>
        </w:tc>
      </w:tr>
      <w:tr w:rsidR="002B3C62" w14:paraId="34C0050A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</w:tcPr>
          <w:p w14:paraId="006D06B4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公司簡介</w:t>
            </w:r>
          </w:p>
        </w:tc>
        <w:tc>
          <w:tcPr>
            <w:tcW w:w="6758" w:type="dxa"/>
            <w:vAlign w:val="center"/>
          </w:tcPr>
          <w:p w14:paraId="472A41A0" w14:textId="77777777" w:rsidR="002B3C62" w:rsidRPr="0076243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富邦證券成立於 1988 年，為涵蓋經紀、承銷、自營與財富管理等業務之綜合券商，總資本額達新台幣162.59億元。富邦證券為</w:t>
            </w:r>
            <w:proofErr w:type="gramStart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富邦金控百分之百</w:t>
            </w:r>
            <w:proofErr w:type="gramEnd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持有之子公司，旗下國內子公司包括富邦期貨、富邦投顧、富邦證創投、</w:t>
            </w:r>
            <w:proofErr w:type="gramStart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富邦閩投創投</w:t>
            </w:r>
            <w:proofErr w:type="gramEnd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；國外則有富邦證券(香港)、日盛嘉富證券等子公司。2023年4月9日富邦證券正式與日盛證券合併，各項業務均顯著成長，持續發揮整</w:t>
            </w:r>
            <w:proofErr w:type="gramStart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併</w:t>
            </w:r>
            <w:proofErr w:type="gramEnd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優勢。</w:t>
            </w:r>
          </w:p>
          <w:p w14:paraId="3B246739" w14:textId="39D298FB" w:rsidR="002B3C62" w:rsidRPr="0076243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富邦證券以「客戶需求」出發，整合金控及投顧研究資源，結合客戶分群服務</w:t>
            </w:r>
            <w:proofErr w:type="gramStart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與輔銷整合</w:t>
            </w:r>
            <w:proofErr w:type="gramEnd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 xml:space="preserve">模式，並以數位及實體 (Online </w:t>
            </w:r>
            <w:r w:rsidR="00E101F9">
              <w:rPr>
                <w:rFonts w:ascii="標楷體" w:eastAsia="標楷體" w:hAnsi="標楷體" w:hint="eastAsia"/>
                <w:sz w:val="28"/>
                <w:szCs w:val="28"/>
              </w:rPr>
              <w:t xml:space="preserve">and </w:t>
            </w:r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Offline)串流優勢，快速回應不同客群的理財需求，創造市場差異化的競爭優勢，致力成為客戶最佳理財夥伴。子公司富邦投顧與富邦期貨也積極強化會員經營、顧問業務，用專業提供客戶全面且更有價值的理財服務。</w:t>
            </w:r>
          </w:p>
          <w:p w14:paraId="7E98D636" w14:textId="77777777" w:rsidR="002B3C62" w:rsidRPr="0076243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為實踐永續投資理念，富邦證券於2023年率業界之先推出跨商品的「ESG專區」，導入台股、美股、海外債及基金等四大投資商品的ESG評分，搭配定期定額業務，攜手投資人成就「投資」與「永續」</w:t>
            </w:r>
            <w:proofErr w:type="gramStart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共好新</w:t>
            </w:r>
            <w:proofErr w:type="gramEnd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局。2023年更成立「永續發展委員會」，以具體行動強化責任投資策略，引領輔導企業落實執行ESG管理。</w:t>
            </w:r>
          </w:p>
          <w:p w14:paraId="5381C71A" w14:textId="485ED405" w:rsidR="002B3C62" w:rsidRPr="0085778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富邦證券以「正向力量 開創價值」的品牌核心理念，用正向的精神提供客戶專業且有溫度的金融服務，致力為每位客戶開創財富管理新價值。近年來，富邦證券聚焦ESG四大策略主軸：「低碳、數位、激勵與影響」，透過設定目標、追蹤量化指標的達成情形，展現實踐永續承諾的行動力。</w:t>
            </w:r>
          </w:p>
        </w:tc>
      </w:tr>
      <w:tr w:rsidR="002B3C62" w14:paraId="654388D5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</w:tcPr>
          <w:p w14:paraId="458E2D3F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主要產品/服務</w:t>
            </w:r>
          </w:p>
        </w:tc>
        <w:tc>
          <w:tcPr>
            <w:tcW w:w="6758" w:type="dxa"/>
            <w:vAlign w:val="center"/>
          </w:tcPr>
          <w:p w14:paraId="78F8AE23" w14:textId="77777777" w:rsidR="002B3C62" w:rsidRPr="0076243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經紀業務簡介</w:t>
            </w:r>
          </w:p>
          <w:p w14:paraId="7A6A90D7" w14:textId="773D6B40" w:rsidR="002B3C62" w:rsidRPr="0085778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富邦證券本著投資理財專業形象及產品多樣化的服務，提供客戶台股、期貨、業務服務。 提供的經紀業務商品有：台股(含定期定額)、信用交易、不限用途款項借貸、借</w:t>
            </w:r>
            <w:proofErr w:type="gramStart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券</w:t>
            </w:r>
            <w:proofErr w:type="gramEnd"/>
            <w:r w:rsidRPr="00762439">
              <w:rPr>
                <w:rFonts w:ascii="標楷體" w:eastAsia="標楷體" w:hAnsi="標楷體" w:hint="eastAsia"/>
                <w:sz w:val="28"/>
                <w:szCs w:val="28"/>
              </w:rPr>
              <w:t>、期權等。富邦證券將透過深化各類客群經營、聚焦整合研究資源、提升系統平台功能，提供多樣化經紀商品及客製化服務，持續鞏固經紀商品業務。</w:t>
            </w:r>
            <w:r>
              <w:rPr>
                <w:rFonts w:ascii="標楷體" w:eastAsia="標楷體" w:hAnsi="標楷體"/>
                <w:sz w:val="28"/>
                <w:szCs w:val="28"/>
              </w:rPr>
              <w:br/>
            </w:r>
          </w:p>
        </w:tc>
      </w:tr>
      <w:tr w:rsidR="002B3C62" w14:paraId="13BCA27F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</w:tcPr>
          <w:p w14:paraId="6AE52F9D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官網網址</w:t>
            </w:r>
            <w:proofErr w:type="gramEnd"/>
          </w:p>
        </w:tc>
        <w:tc>
          <w:tcPr>
            <w:tcW w:w="6758" w:type="dxa"/>
            <w:vAlign w:val="center"/>
          </w:tcPr>
          <w:p w14:paraId="75608AE0" w14:textId="240689D0" w:rsidR="002B3C62" w:rsidRPr="0085778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hyperlink r:id="rId7" w:history="1">
              <w:r w:rsidRPr="00762439">
                <w:rPr>
                  <w:rStyle w:val="ab"/>
                  <w:rFonts w:ascii="標楷體" w:eastAsia="標楷體" w:hAnsi="標楷體"/>
                  <w:sz w:val="28"/>
                  <w:szCs w:val="28"/>
                </w:rPr>
                <w:t>富邦綜合證券股份有限公司_富邦綜合證券</w:t>
              </w:r>
            </w:hyperlink>
          </w:p>
        </w:tc>
      </w:tr>
      <w:tr w:rsidR="002B3C62" w14:paraId="16735927" w14:textId="77777777" w:rsidTr="0022725C">
        <w:trPr>
          <w:cantSplit/>
          <w:trHeight w:val="567"/>
          <w:jc w:val="center"/>
        </w:trPr>
        <w:tc>
          <w:tcPr>
            <w:tcW w:w="2291" w:type="dxa"/>
            <w:vAlign w:val="center"/>
          </w:tcPr>
          <w:p w14:paraId="46B2A400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數位金融網址</w:t>
            </w:r>
          </w:p>
        </w:tc>
        <w:tc>
          <w:tcPr>
            <w:tcW w:w="6758" w:type="dxa"/>
            <w:vAlign w:val="center"/>
          </w:tcPr>
          <w:p w14:paraId="4E4A60E0" w14:textId="29E1B473" w:rsidR="002B3C62" w:rsidRPr="00857789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hyperlink r:id="rId8" w:history="1">
              <w:r w:rsidRPr="00762439">
                <w:rPr>
                  <w:rStyle w:val="ab"/>
                  <w:rFonts w:ascii="標楷體" w:eastAsia="標楷體" w:hAnsi="標楷體"/>
                  <w:sz w:val="28"/>
                  <w:szCs w:val="28"/>
                </w:rPr>
                <w:t>富邦綜合證券股份有限公司_富邦綜合證券</w:t>
              </w:r>
            </w:hyperlink>
          </w:p>
        </w:tc>
      </w:tr>
      <w:tr w:rsidR="002B3C62" w14:paraId="52F4523C" w14:textId="77777777" w:rsidTr="0022725C">
        <w:trPr>
          <w:cantSplit/>
          <w:trHeight w:val="974"/>
          <w:jc w:val="center"/>
        </w:trPr>
        <w:tc>
          <w:tcPr>
            <w:tcW w:w="2291" w:type="dxa"/>
            <w:vAlign w:val="center"/>
          </w:tcPr>
          <w:p w14:paraId="622FF699" w14:textId="77777777" w:rsidR="002B3C62" w:rsidRDefault="002B3C62" w:rsidP="002B3C62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其他</w:t>
            </w:r>
          </w:p>
        </w:tc>
        <w:tc>
          <w:tcPr>
            <w:tcW w:w="6758" w:type="dxa"/>
            <w:vAlign w:val="center"/>
          </w:tcPr>
          <w:p w14:paraId="39CC50C8" w14:textId="77777777" w:rsidR="002B3C62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參賽公司是否</w:t>
            </w:r>
            <w:proofErr w:type="gramStart"/>
            <w:r w:rsidRPr="00D90C63">
              <w:rPr>
                <w:rFonts w:ascii="標楷體" w:eastAsia="標楷體" w:hAnsi="標楷體" w:hint="eastAsia"/>
                <w:sz w:val="28"/>
                <w:szCs w:val="28"/>
              </w:rPr>
              <w:t>隸屬於金控或</w:t>
            </w:r>
            <w:proofErr w:type="gramEnd"/>
            <w:r w:rsidRPr="00D90C63">
              <w:rPr>
                <w:rFonts w:ascii="標楷體" w:eastAsia="標楷體" w:hAnsi="標楷體" w:hint="eastAsia"/>
                <w:sz w:val="28"/>
                <w:szCs w:val="28"/>
              </w:rPr>
              <w:t>集團旗下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</w:p>
          <w:p w14:paraId="50F7F163" w14:textId="6E43DC33" w:rsidR="002B3C62" w:rsidRPr="00D45BD4" w:rsidRDefault="002B3C62" w:rsidP="002B3C6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5B651E">
              <w:rPr>
                <w:rFonts w:ascii="標楷體" w:eastAsia="標楷體" w:hAnsi="標楷體" w:hint="eastAsia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否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；</w:t>
            </w:r>
            <w:r>
              <w:rPr>
                <w:rFonts w:ascii="標楷體" w:eastAsia="標楷體" w:hAnsi="標楷體" w:hint="eastAsia"/>
                <w:szCs w:val="28"/>
              </w:rPr>
              <w:t>■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是</w:t>
            </w:r>
            <w:r w:rsidRPr="00D90C63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富邦</w:t>
            </w:r>
            <w:r w:rsidRPr="00D90C63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金控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/集團</w:t>
            </w:r>
          </w:p>
        </w:tc>
      </w:tr>
    </w:tbl>
    <w:p w14:paraId="02039786" w14:textId="77777777" w:rsidR="00812328" w:rsidRPr="00737292" w:rsidRDefault="00737292" w:rsidP="00737292">
      <w:pPr>
        <w:pStyle w:val="a6"/>
        <w:tabs>
          <w:tab w:val="left" w:pos="480"/>
        </w:tabs>
        <w:snapToGrid/>
        <w:spacing w:line="0" w:lineRule="atLeast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8836DF">
        <w:rPr>
          <w:rFonts w:ascii="標楷體" w:eastAsia="標楷體" w:hAnsi="標楷體" w:hint="eastAsia"/>
          <w:b/>
          <w:bCs/>
          <w:sz w:val="40"/>
          <w:szCs w:val="40"/>
        </w:rPr>
        <w:t>【</w:t>
      </w:r>
      <w:r w:rsidR="004E7AF4" w:rsidRPr="004E7AF4">
        <w:rPr>
          <w:rFonts w:ascii="標楷體" w:eastAsia="標楷體" w:hAnsi="標楷體" w:hint="eastAsia"/>
          <w:b/>
          <w:bCs/>
          <w:sz w:val="40"/>
          <w:szCs w:val="40"/>
        </w:rPr>
        <w:t>AI 智能實踐典範獎</w:t>
      </w:r>
      <w:r w:rsidRPr="008836DF">
        <w:rPr>
          <w:rFonts w:ascii="標楷體" w:eastAsia="標楷體" w:hAnsi="標楷體" w:hint="eastAsia"/>
          <w:b/>
          <w:bCs/>
          <w:sz w:val="40"/>
          <w:szCs w:val="40"/>
        </w:rPr>
        <w:t>】</w:t>
      </w:r>
    </w:p>
    <w:tbl>
      <w:tblPr>
        <w:tblpPr w:leftFromText="180" w:rightFromText="180" w:vertAnchor="text" w:horzAnchor="margin" w:tblpXSpec="center" w:tblpY="261"/>
        <w:tblW w:w="907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63"/>
        <w:gridCol w:w="7209"/>
      </w:tblGrid>
      <w:tr w:rsidR="00DD6DC1" w:rsidRPr="0023658C" w14:paraId="397EF59E" w14:textId="77777777" w:rsidTr="06F0289C">
        <w:trPr>
          <w:cantSplit/>
          <w:trHeight w:val="886"/>
        </w:trPr>
        <w:tc>
          <w:tcPr>
            <w:tcW w:w="9072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ED8AD58" w14:textId="77777777" w:rsidR="00DD6DC1" w:rsidRPr="0023658C" w:rsidRDefault="00DD6DC1" w:rsidP="00DD6DC1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DD6DC1">
              <w:rPr>
                <w:rFonts w:ascii="標楷體" w:eastAsia="標楷體" w:hAnsi="標楷體" w:hint="eastAsia"/>
                <w:bCs/>
                <w:sz w:val="36"/>
                <w:szCs w:val="40"/>
              </w:rPr>
              <w:t>參選資料</w:t>
            </w:r>
          </w:p>
        </w:tc>
      </w:tr>
      <w:tr w:rsidR="00BD65B3" w:rsidRPr="0023658C" w14:paraId="35BA00F9" w14:textId="77777777" w:rsidTr="06F0289C">
        <w:trPr>
          <w:cantSplit/>
          <w:trHeight w:val="602"/>
        </w:trPr>
        <w:tc>
          <w:tcPr>
            <w:tcW w:w="188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6A1876A" w14:textId="77777777" w:rsidR="00BD65B3" w:rsidRPr="0023658C" w:rsidRDefault="0023658C" w:rsidP="00C2340B">
            <w:pPr>
              <w:spacing w:line="44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3658C">
              <w:rPr>
                <w:rFonts w:ascii="標楷體" w:eastAsia="標楷體" w:hAnsi="標楷體" w:hint="eastAsia"/>
                <w:b/>
                <w:sz w:val="28"/>
                <w:szCs w:val="28"/>
              </w:rPr>
              <w:t>方案</w:t>
            </w:r>
            <w:r w:rsidR="00BD65B3" w:rsidRPr="0023658C">
              <w:rPr>
                <w:rFonts w:ascii="標楷體" w:eastAsia="標楷體" w:hAnsi="標楷體" w:hint="eastAsia"/>
                <w:b/>
                <w:sz w:val="28"/>
                <w:szCs w:val="28"/>
              </w:rPr>
              <w:t>名稱</w:t>
            </w:r>
          </w:p>
        </w:tc>
        <w:tc>
          <w:tcPr>
            <w:tcW w:w="718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DD4BF42" w14:textId="687BF582" w:rsidR="00BD65B3" w:rsidRPr="001D6766" w:rsidRDefault="008047FB" w:rsidP="00BD65B3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富邦 AI PRO：從交易工具到決策平台的 AI 智能實踐典範</w:t>
            </w:r>
          </w:p>
        </w:tc>
      </w:tr>
      <w:tr w:rsidR="00BD65B3" w:rsidRPr="0023658C" w14:paraId="5712750D" w14:textId="77777777" w:rsidTr="06F0289C">
        <w:trPr>
          <w:cantSplit/>
          <w:trHeight w:val="3271"/>
        </w:trPr>
        <w:tc>
          <w:tcPr>
            <w:tcW w:w="1887" w:type="dxa"/>
            <w:shd w:val="clear" w:color="auto" w:fill="FFFFFF" w:themeFill="background1"/>
            <w:vAlign w:val="center"/>
          </w:tcPr>
          <w:p w14:paraId="3BC41A90" w14:textId="77777777" w:rsidR="00BD65B3" w:rsidRPr="00253EE2" w:rsidRDefault="00BD65B3" w:rsidP="00C2340B">
            <w:pPr>
              <w:spacing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53EE2">
              <w:rPr>
                <w:rFonts w:ascii="標楷體" w:eastAsia="標楷體" w:hAnsi="標楷體" w:hint="eastAsia"/>
                <w:sz w:val="28"/>
                <w:szCs w:val="28"/>
              </w:rPr>
              <w:t>注意事項</w:t>
            </w:r>
          </w:p>
        </w:tc>
        <w:tc>
          <w:tcPr>
            <w:tcW w:w="7185" w:type="dxa"/>
            <w:shd w:val="clear" w:color="auto" w:fill="FFFFFF" w:themeFill="background1"/>
            <w:vAlign w:val="center"/>
          </w:tcPr>
          <w:p w14:paraId="6D3BD270" w14:textId="77777777" w:rsidR="00D77512" w:rsidRPr="00DD6DC1" w:rsidRDefault="00D77512" w:rsidP="00D77512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210" w:hanging="210"/>
              <w:jc w:val="both"/>
              <w:rPr>
                <w:rFonts w:ascii="標楷體" w:eastAsia="標楷體" w:hAnsi="標楷體"/>
                <w:sz w:val="22"/>
                <w:szCs w:val="20"/>
              </w:rPr>
            </w:pP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全文文章為A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4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大小的紙張，邊界設為標準（上下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2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.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54cm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、左右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3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.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18cm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），內文之字體採用標楷體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14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號中文字體，英文字體採用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14pt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 xml:space="preserve"> 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Time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 xml:space="preserve">s 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Ne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 xml:space="preserve">w 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Roma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n字體，行距為固定行高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22pt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。</w:t>
            </w:r>
          </w:p>
          <w:p w14:paraId="2B050182" w14:textId="77777777" w:rsidR="00D77512" w:rsidRPr="00DD6DC1" w:rsidRDefault="00D77512" w:rsidP="00D77512">
            <w:pPr>
              <w:pStyle w:val="a8"/>
              <w:numPr>
                <w:ilvl w:val="0"/>
                <w:numId w:val="6"/>
              </w:numPr>
              <w:spacing w:beforeLines="50" w:before="180" w:line="300" w:lineRule="exact"/>
              <w:ind w:leftChars="0" w:left="208" w:hanging="208"/>
              <w:jc w:val="both"/>
              <w:rPr>
                <w:rFonts w:ascii="標楷體" w:eastAsia="標楷體" w:hAnsi="標楷體"/>
                <w:sz w:val="22"/>
                <w:szCs w:val="20"/>
              </w:rPr>
            </w:pP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參選文件內容除文字表述外，相關資訊請以數據量化或圖表，每項參選文件包含表格、圖片</w:t>
            </w:r>
            <w:r w:rsidRPr="00DD6DC1">
              <w:rPr>
                <w:rFonts w:ascii="標楷體" w:eastAsia="標楷體" w:hAnsi="標楷體"/>
                <w:sz w:val="22"/>
                <w:szCs w:val="20"/>
              </w:rPr>
              <w:t>A</w:t>
            </w:r>
            <w:r w:rsidRPr="007D3C82">
              <w:rPr>
                <w:rFonts w:ascii="Times New Roman" w:eastAsia="標楷體" w:hAnsi="Times New Roman"/>
                <w:sz w:val="22"/>
                <w:szCs w:val="20"/>
              </w:rPr>
              <w:t>4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規格</w:t>
            </w:r>
            <w:r w:rsidRPr="007D3C82">
              <w:rPr>
                <w:rFonts w:ascii="Times New Roman" w:eastAsia="標楷體" w:hAnsi="Times New Roman"/>
                <w:sz w:val="22"/>
                <w:szCs w:val="20"/>
              </w:rPr>
              <w:t>15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頁為上限（不含報名表、同意書及附件），並標</w:t>
            </w:r>
            <w:proofErr w:type="gramStart"/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註</w:t>
            </w:r>
            <w:proofErr w:type="gramEnd"/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頁碼。</w:t>
            </w:r>
          </w:p>
          <w:p w14:paraId="7A17A493" w14:textId="77777777" w:rsidR="00D77512" w:rsidRPr="00DD6DC1" w:rsidRDefault="00D77512" w:rsidP="00D77512">
            <w:pPr>
              <w:pStyle w:val="a8"/>
              <w:numPr>
                <w:ilvl w:val="0"/>
                <w:numId w:val="6"/>
              </w:numPr>
              <w:spacing w:beforeLines="50" w:before="180" w:line="300" w:lineRule="exact"/>
              <w:ind w:leftChars="0" w:left="208" w:hanging="208"/>
              <w:jc w:val="both"/>
              <w:rPr>
                <w:rFonts w:ascii="標楷體" w:eastAsia="標楷體" w:hAnsi="標楷體"/>
                <w:sz w:val="22"/>
                <w:szCs w:val="20"/>
              </w:rPr>
            </w:pP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每分項說明至少</w:t>
            </w:r>
            <w:r w:rsidRPr="007D3C82">
              <w:rPr>
                <w:rFonts w:ascii="Times New Roman" w:eastAsia="標楷體" w:hAnsi="Times New Roman" w:hint="eastAsia"/>
                <w:sz w:val="22"/>
                <w:szCs w:val="20"/>
              </w:rPr>
              <w:t>500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字以上為原則，</w:t>
            </w:r>
            <w:proofErr w:type="gramStart"/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可輔以</w:t>
            </w:r>
            <w:proofErr w:type="gramEnd"/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圖表/數據陳述，表格有限可自行</w:t>
            </w:r>
            <w:r w:rsidR="00793890">
              <w:rPr>
                <w:rFonts w:ascii="標楷體" w:eastAsia="標楷體" w:hAnsi="標楷體" w:hint="eastAsia"/>
                <w:sz w:val="22"/>
                <w:szCs w:val="20"/>
              </w:rPr>
              <w:t>延伸表格</w:t>
            </w: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。</w:t>
            </w:r>
          </w:p>
          <w:p w14:paraId="78119F20" w14:textId="77777777" w:rsidR="00853988" w:rsidRPr="00DD6DC1" w:rsidRDefault="00D77512" w:rsidP="00D77512">
            <w:pPr>
              <w:pStyle w:val="a8"/>
              <w:numPr>
                <w:ilvl w:val="0"/>
                <w:numId w:val="6"/>
              </w:numPr>
              <w:spacing w:beforeLines="50" w:before="180" w:line="300" w:lineRule="exact"/>
              <w:ind w:leftChars="0" w:left="208" w:hanging="208"/>
              <w:jc w:val="both"/>
              <w:rPr>
                <w:rFonts w:ascii="標楷體" w:eastAsia="標楷體" w:hAnsi="標楷體"/>
                <w:sz w:val="22"/>
                <w:szCs w:val="20"/>
              </w:rPr>
            </w:pPr>
            <w:r w:rsidRPr="00DD6DC1">
              <w:rPr>
                <w:rFonts w:ascii="標楷體" w:eastAsia="標楷體" w:hAnsi="標楷體" w:hint="eastAsia"/>
                <w:sz w:val="22"/>
                <w:szCs w:val="20"/>
              </w:rPr>
              <w:t>簡章中所列「評分項目及評分比重」，請務必根據事實，就參選業務之內容及特性陳述之，並具體以數據表示績效、成果、效益。</w:t>
            </w:r>
          </w:p>
        </w:tc>
      </w:tr>
      <w:tr w:rsidR="00AC52F1" w:rsidRPr="0023658C" w14:paraId="31964A08" w14:textId="77777777" w:rsidTr="06F0289C">
        <w:trPr>
          <w:cantSplit/>
          <w:trHeight w:val="452"/>
        </w:trPr>
        <w:tc>
          <w:tcPr>
            <w:tcW w:w="1887" w:type="dxa"/>
            <w:vMerge w:val="restart"/>
            <w:vAlign w:val="center"/>
          </w:tcPr>
          <w:p w14:paraId="7A21593F" w14:textId="77777777" w:rsidR="00AC52F1" w:rsidRPr="0001340B" w:rsidRDefault="004E7AF4" w:rsidP="004A5D07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pacing w:val="-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</w:rPr>
              <w:t>實務落地成熟度</w:t>
            </w:r>
            <w:r w:rsidR="004A5D07" w:rsidRPr="0001340B">
              <w:rPr>
                <w:rFonts w:ascii="標楷體" w:eastAsia="標楷體" w:hAnsi="標楷體" w:hint="eastAsia"/>
                <w:spacing w:val="-1"/>
                <w:sz w:val="28"/>
                <w:szCs w:val="28"/>
              </w:rPr>
              <w:t>30%</w:t>
            </w:r>
          </w:p>
        </w:tc>
        <w:tc>
          <w:tcPr>
            <w:tcW w:w="7185" w:type="dxa"/>
            <w:tcBorders>
              <w:bottom w:val="single" w:sz="8" w:space="0" w:color="auto"/>
            </w:tcBorders>
            <w:vAlign w:val="center"/>
          </w:tcPr>
          <w:p w14:paraId="6C69CACF" w14:textId="77777777" w:rsidR="00AC52F1" w:rsidRPr="008047FB" w:rsidRDefault="00AC52F1" w:rsidP="008047FB">
            <w:pPr>
              <w:pStyle w:val="a6"/>
              <w:tabs>
                <w:tab w:val="left" w:pos="480"/>
              </w:tabs>
              <w:spacing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評選重點：</w:t>
            </w:r>
            <w:r w:rsidR="003F0C5E" w:rsidRPr="008047FB">
              <w:rPr>
                <w:rFonts w:hint="eastAsia"/>
                <w:sz w:val="28"/>
                <w:szCs w:val="28"/>
              </w:rPr>
              <w:t xml:space="preserve"> </w:t>
            </w:r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t>AI 應用是否已上線營運，非概念性或 PoC，</w:t>
            </w:r>
            <w:r w:rsidR="00C15210" w:rsidRPr="008047FB">
              <w:rPr>
                <w:rFonts w:ascii="標楷體" w:eastAsia="標楷體" w:hAnsi="標楷體" w:hint="eastAsia"/>
                <w:sz w:val="28"/>
                <w:szCs w:val="28"/>
              </w:rPr>
              <w:t>是否已深度整合既有</w:t>
            </w:r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t>授信、理賠、</w:t>
            </w:r>
            <w:proofErr w:type="gramStart"/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t>風控</w:t>
            </w:r>
            <w:proofErr w:type="gramEnd"/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t>、客服、法</w:t>
            </w:r>
            <w:proofErr w:type="gramStart"/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t>遵</w:t>
            </w:r>
            <w:proofErr w:type="gramEnd"/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t>等</w:t>
            </w:r>
            <w:r w:rsidR="008D344C" w:rsidRPr="008047FB">
              <w:rPr>
                <w:rFonts w:ascii="標楷體" w:eastAsia="標楷體" w:hAnsi="標楷體" w:hint="eastAsia"/>
                <w:sz w:val="28"/>
                <w:szCs w:val="28"/>
              </w:rPr>
              <w:t>業務流程</w:t>
            </w:r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t>，系統穩定度、可擴充性與維運機制是否</w:t>
            </w:r>
            <w:proofErr w:type="gramStart"/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t>健全，</w:t>
            </w:r>
            <w:proofErr w:type="gramEnd"/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t>是否具</w:t>
            </w:r>
            <w:r w:rsidR="00D86562" w:rsidRPr="008047FB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備跨部門或跨單位導入經驗</w:t>
            </w:r>
            <w:r w:rsidR="005C61A7" w:rsidRPr="008047FB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EE4FB4" w:rsidRPr="0023658C" w14:paraId="3E36532B" w14:textId="77777777" w:rsidTr="06F0289C">
        <w:trPr>
          <w:cantSplit/>
          <w:trHeight w:val="964"/>
        </w:trPr>
        <w:tc>
          <w:tcPr>
            <w:tcW w:w="1887" w:type="dxa"/>
            <w:vMerge/>
            <w:vAlign w:val="center"/>
          </w:tcPr>
          <w:p w14:paraId="6DA2DEDC" w14:textId="77777777" w:rsidR="00EE4FB4" w:rsidRPr="0001340B" w:rsidRDefault="00EE4FB4" w:rsidP="00EE4FB4">
            <w:pPr>
              <w:spacing w:line="440" w:lineRule="exact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</w:rPr>
            </w:pPr>
          </w:p>
        </w:tc>
        <w:tc>
          <w:tcPr>
            <w:tcW w:w="7185" w:type="dxa"/>
            <w:tcBorders>
              <w:top w:val="single" w:sz="8" w:space="0" w:color="auto"/>
            </w:tcBorders>
            <w:vAlign w:val="center"/>
          </w:tcPr>
          <w:p w14:paraId="052013C0" w14:textId="69E0B60B" w:rsidR="008B7B90" w:rsidRPr="001D4DE5" w:rsidRDefault="00215550" w:rsidP="001D4DE5">
            <w:pPr>
              <w:widowControl/>
              <w:outlineLvl w:val="2"/>
              <w:rPr>
                <w:rFonts w:ascii="新細明體" w:eastAsia="新細明體" w:hAnsi="新細明體" w:cs="新細明體"/>
                <w:b/>
                <w:bCs/>
                <w:kern w:val="0"/>
                <w:sz w:val="27"/>
                <w:szCs w:val="27"/>
              </w:rPr>
            </w:pPr>
            <w:r w:rsidRPr="001D4DE5">
              <w:rPr>
                <w:rFonts w:ascii="標楷體" w:eastAsia="標楷體" w:hAnsi="標楷體"/>
                <w:b/>
                <w:bCs/>
                <w:sz w:val="28"/>
                <w:szCs w:val="28"/>
              </w:rPr>
              <w:t>以投資旅程為核心，打造已深度落地的智慧投資平台</w:t>
            </w:r>
          </w:p>
          <w:p w14:paraId="5FF4A1D5" w14:textId="47C2110F" w:rsidR="00EE4FB4" w:rsidRPr="008047FB" w:rsidRDefault="00E02143" w:rsidP="008047FB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02143">
              <w:rPr>
                <w:rFonts w:ascii="標楷體" w:eastAsia="標楷體" w:hAnsi="標楷體" w:hint="eastAsia"/>
                <w:sz w:val="28"/>
                <w:szCs w:val="28"/>
              </w:rPr>
              <w:t>在數位投資快速</w:t>
            </w:r>
            <w:proofErr w:type="gramStart"/>
            <w:r w:rsidRPr="00E02143">
              <w:rPr>
                <w:rFonts w:ascii="標楷體" w:eastAsia="標楷體" w:hAnsi="標楷體" w:hint="eastAsia"/>
                <w:sz w:val="28"/>
                <w:szCs w:val="28"/>
              </w:rPr>
              <w:t>普及、</w:t>
            </w:r>
            <w:proofErr w:type="gramEnd"/>
            <w:r w:rsidRPr="00E02143">
              <w:rPr>
                <w:rFonts w:ascii="標楷體" w:eastAsia="標楷體" w:hAnsi="標楷體" w:hint="eastAsia"/>
                <w:sz w:val="28"/>
                <w:szCs w:val="28"/>
              </w:rPr>
              <w:t>投資資訊爆炸成長的市場環境下，投資人面臨的核心挑戰，已從「是否取得資訊、完成交易」，轉為如何在龐大且快速流動</w:t>
            </w:r>
            <w:proofErr w:type="gramStart"/>
            <w:r w:rsidRPr="00E02143">
              <w:rPr>
                <w:rFonts w:ascii="標楷體" w:eastAsia="標楷體" w:hAnsi="標楷體" w:hint="eastAsia"/>
                <w:sz w:val="28"/>
                <w:szCs w:val="28"/>
              </w:rPr>
              <w:t>的多源資訊</w:t>
            </w:r>
            <w:proofErr w:type="gramEnd"/>
            <w:r w:rsidRPr="00E02143">
              <w:rPr>
                <w:rFonts w:ascii="標楷體" w:eastAsia="標楷體" w:hAnsi="標楷體" w:hint="eastAsia"/>
                <w:sz w:val="28"/>
                <w:szCs w:val="28"/>
              </w:rPr>
              <w:t>中，迅速掌握重點、形成判斷，並做出更具信心的投資決策。富邦證券洞察此一結構性轉變，未將 AI 視為既有服務的附加功能，而是從產品本質重新定義券商 App 的角色，推出以 AI 為核心的新世代智慧投資平台</w:t>
            </w:r>
            <w:r w:rsidR="009A4393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00E02143">
              <w:rPr>
                <w:rFonts w:ascii="標楷體" w:eastAsia="標楷體" w:hAnsi="標楷體" w:hint="eastAsia"/>
                <w:sz w:val="28"/>
                <w:szCs w:val="28"/>
              </w:rPr>
              <w:t>，將券商 App 由交易導向工具，升級為能實質參與投資人決策歷程的智慧平台</w:t>
            </w:r>
            <w:r w:rsidR="008047FB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46F162BD" w14:textId="4AC6A2C4" w:rsidR="00EE4FB4" w:rsidRPr="008047FB" w:rsidRDefault="00834434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的成熟度展現在其已全面整合至投資人高頻使用的核心前台場景，而非停留於概念展示或單點 PoC。平台目前已涵</w:t>
            </w:r>
            <w:r w:rsidR="384C4224" w:rsidRPr="00834434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蓋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「</w:t>
            </w:r>
            <w:r w:rsidR="384C4224" w:rsidRPr="00834434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AI分析師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」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、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「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AI 投資助理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」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、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「</w:t>
            </w:r>
            <w:proofErr w:type="gramStart"/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法說會摘要</w:t>
            </w:r>
            <w:proofErr w:type="gramEnd"/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」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、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「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相似K 線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」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、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「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K</w:t>
            </w:r>
            <w:proofErr w:type="gramStart"/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線選股</w:t>
            </w:r>
            <w:proofErr w:type="gramEnd"/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與畫線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」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、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「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投資行事曆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」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、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「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模擬交易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」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、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「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AI 個人化專區</w:t>
            </w:r>
            <w:r w:rsidRPr="00834434">
              <w:rPr>
                <w:rFonts w:ascii="標楷體" w:eastAsia="標楷體" w:hAnsi="標楷體"/>
                <w:sz w:val="28"/>
                <w:szCs w:val="28"/>
                <w:u w:val="single"/>
              </w:rPr>
              <w:t>」</w:t>
            </w:r>
            <w:r w:rsidR="384C4224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及國外期貨整合等功能，完整支援投資人從資訊理解、標的研究、技術分析、事件追蹤、策略驗證到個人化洞察的決策需求，形成具連續性與整合性的決策支持體系，而非僅是功能堆疊</w:t>
            </w:r>
            <w:r w:rsidR="1051AD70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。</w:t>
            </w:r>
          </w:p>
          <w:p w14:paraId="672B16A4" w14:textId="2787D3A8" w:rsidR="002C6565" w:rsidRDefault="6558FA18" w:rsidP="002C6565">
            <w:pPr>
              <w:pStyle w:val="a6"/>
              <w:spacing w:afterLines="50" w:after="180"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4643B3DD">
              <w:rPr>
                <w:rFonts w:ascii="標楷體" w:eastAsia="標楷體" w:hAnsi="標楷體"/>
                <w:sz w:val="28"/>
                <w:szCs w:val="28"/>
              </w:rPr>
              <w:t>更重要的是，</w:t>
            </w:r>
            <w:r w:rsidR="00834434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已成功將券商 App 的使用情境，從過去集中於「看盤、查價、下單」的交易時點，延伸至投資人日常研究、提問、追蹤與練習的全流程場景。即使未立即進行交易，投資人仍可透過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AI分析</w:t>
            </w:r>
            <w:r w:rsidR="00834434">
              <w:rPr>
                <w:rFonts w:ascii="標楷體" w:eastAsia="標楷體" w:hAnsi="標楷體" w:hint="eastAsia"/>
                <w:sz w:val="28"/>
                <w:szCs w:val="28"/>
              </w:rPr>
              <w:t>師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、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proofErr w:type="gramStart"/>
            <w:r w:rsidRPr="4643B3DD">
              <w:rPr>
                <w:rFonts w:ascii="標楷體" w:eastAsia="標楷體" w:hAnsi="標楷體"/>
                <w:sz w:val="28"/>
                <w:szCs w:val="28"/>
              </w:rPr>
              <w:t>法說</w:t>
            </w:r>
            <w:r w:rsidR="00834434">
              <w:rPr>
                <w:rFonts w:ascii="標楷體" w:eastAsia="標楷體" w:hAnsi="標楷體" w:hint="eastAsia"/>
                <w:sz w:val="28"/>
                <w:szCs w:val="28"/>
              </w:rPr>
              <w:t>會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摘要</w:t>
            </w:r>
            <w:proofErr w:type="gramEnd"/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、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投資行事曆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、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模擬交易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及個人化資訊持續進行準備與累積，顯著提升平台使用頻率與黏著度，並重新定義券商數位服務的價值定位</w:t>
            </w:r>
            <w:r w:rsidR="1051AD70" w:rsidRPr="4643B3DD">
              <w:rPr>
                <w:rFonts w:ascii="標楷體" w:eastAsia="標楷體" w:hAnsi="標楷體"/>
                <w:sz w:val="28"/>
                <w:szCs w:val="28"/>
              </w:rPr>
              <w:t>。</w:t>
            </w:r>
          </w:p>
          <w:p w14:paraId="438AB04A" w14:textId="3A99D615" w:rsidR="002C6565" w:rsidRDefault="002C6565" w:rsidP="002C6565">
            <w:pPr>
              <w:pStyle w:val="a6"/>
              <w:spacing w:afterLines="50" w:after="180"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AB6BD3E" wp14:editId="10CE558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396875</wp:posOffset>
                  </wp:positionV>
                  <wp:extent cx="4505325" cy="2514600"/>
                  <wp:effectExtent l="0" t="0" r="0" b="0"/>
                  <wp:wrapTopAndBottom/>
                  <wp:docPr id="2939011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52813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A9B010" w14:textId="7681A65F" w:rsidR="00EE4FB4" w:rsidRPr="002C6565" w:rsidRDefault="1542EF05" w:rsidP="4643B3DD">
            <w:pPr>
              <w:pStyle w:val="a6"/>
              <w:spacing w:afterLines="50" w:after="180" w:line="440" w:lineRule="exact"/>
              <w:jc w:val="center"/>
              <w:rPr>
                <w:sz w:val="24"/>
                <w:szCs w:val="24"/>
              </w:rPr>
            </w:pPr>
            <w:r w:rsidRPr="002C6565">
              <w:rPr>
                <w:rFonts w:ascii="標楷體" w:eastAsia="標楷體" w:hAnsi="標楷體"/>
                <w:sz w:val="24"/>
                <w:szCs w:val="24"/>
              </w:rPr>
              <w:t>▲</w:t>
            </w:r>
            <w:r w:rsidR="49AEF239" w:rsidRPr="002C6565">
              <w:rPr>
                <w:rFonts w:ascii="標楷體" w:eastAsia="標楷體" w:hAnsi="標楷體"/>
                <w:sz w:val="24"/>
                <w:szCs w:val="24"/>
              </w:rPr>
              <w:t>多項 AI 功能已完成實際落地，並正式開放用戶使用</w:t>
            </w:r>
          </w:p>
          <w:p w14:paraId="1C4C827A" w14:textId="74D68C7A" w:rsidR="00EE4FB4" w:rsidRPr="008047FB" w:rsidRDefault="78A7EA06" w:rsidP="4643B3DD">
            <w:pPr>
              <w:pStyle w:val="a6"/>
              <w:spacing w:afterLines="50" w:after="180" w:line="440" w:lineRule="exac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4643B3DD">
              <w:rPr>
                <w:rFonts w:ascii="標楷體" w:eastAsia="標楷體" w:hAnsi="標楷體"/>
                <w:sz w:val="28"/>
                <w:szCs w:val="28"/>
              </w:rPr>
              <w:t>此外，</w:t>
            </w:r>
            <w:proofErr w:type="gramEnd"/>
            <w:r w:rsidR="00834434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亦展現高度延展性與平台化潛力，除台股服務外，進一步整合國外期貨交易與帳</w:t>
            </w:r>
            <w:proofErr w:type="gramStart"/>
            <w:r w:rsidRPr="4643B3DD">
              <w:rPr>
                <w:rFonts w:ascii="標楷體" w:eastAsia="標楷體" w:hAnsi="標楷體"/>
                <w:sz w:val="28"/>
                <w:szCs w:val="28"/>
              </w:rPr>
              <w:t>務</w:t>
            </w:r>
            <w:proofErr w:type="gramEnd"/>
            <w:r w:rsidRPr="4643B3DD">
              <w:rPr>
                <w:rFonts w:ascii="標楷體" w:eastAsia="標楷體" w:hAnsi="標楷體"/>
                <w:sz w:val="28"/>
                <w:szCs w:val="28"/>
              </w:rPr>
              <w:t>，支援跨市場、多商品操作需求，提升整體服務完整度與使用體驗。整體而言，</w:t>
            </w:r>
            <w:r w:rsidR="00834434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不僅是一項數位創新功能，而是一套已深度嵌入核心服務流程、具實際使用價值且可持續擴充的智慧投資平台架構，展現富邦證券高度成熟的 AI 應用落地能力</w:t>
            </w:r>
            <w:r w:rsidR="1051AD70" w:rsidRPr="4643B3DD">
              <w:rPr>
                <w:rFonts w:ascii="標楷體" w:eastAsia="標楷體" w:hAnsi="標楷體"/>
                <w:sz w:val="28"/>
                <w:szCs w:val="28"/>
              </w:rPr>
              <w:t>。</w:t>
            </w:r>
          </w:p>
        </w:tc>
      </w:tr>
      <w:tr w:rsidR="00EE4FB4" w:rsidRPr="0023658C" w14:paraId="5B427811" w14:textId="77777777" w:rsidTr="06F0289C">
        <w:trPr>
          <w:cantSplit/>
          <w:trHeight w:val="669"/>
        </w:trPr>
        <w:tc>
          <w:tcPr>
            <w:tcW w:w="1887" w:type="dxa"/>
            <w:vMerge w:val="restart"/>
            <w:vAlign w:val="center"/>
          </w:tcPr>
          <w:p w14:paraId="45217216" w14:textId="1F8A2832" w:rsidR="00EE4FB4" w:rsidRPr="0001340B" w:rsidRDefault="00EE4FB4" w:rsidP="00EE4FB4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pacing w:val="-1"/>
                <w:sz w:val="28"/>
                <w:szCs w:val="28"/>
              </w:rPr>
            </w:pPr>
            <w:r w:rsidRPr="00D252EA">
              <w:rPr>
                <w:rFonts w:ascii="Times New Roman" w:eastAsia="標楷體" w:hAnsi="Times New Roman" w:cs="Times New Roman" w:hint="eastAsia"/>
                <w:spacing w:val="-1"/>
                <w:sz w:val="28"/>
                <w:szCs w:val="28"/>
              </w:rPr>
              <w:lastRenderedPageBreak/>
              <w:t>技術可行性與專業度</w:t>
            </w:r>
            <w:r w:rsidRPr="00D252EA">
              <w:rPr>
                <w:rFonts w:ascii="Times New Roman" w:eastAsia="標楷體" w:hAnsi="Times New Roman" w:cs="Times New Roman" w:hint="eastAsia"/>
                <w:spacing w:val="-1"/>
                <w:sz w:val="28"/>
                <w:szCs w:val="28"/>
              </w:rPr>
              <w:t>25%</w:t>
            </w:r>
          </w:p>
        </w:tc>
        <w:tc>
          <w:tcPr>
            <w:tcW w:w="7185" w:type="dxa"/>
            <w:tcBorders>
              <w:bottom w:val="single" w:sz="8" w:space="0" w:color="auto"/>
            </w:tcBorders>
            <w:vAlign w:val="center"/>
          </w:tcPr>
          <w:p w14:paraId="2F228B30" w14:textId="5B52F4D9" w:rsidR="00EE4FB4" w:rsidRPr="008047FB" w:rsidRDefault="00EE4FB4" w:rsidP="008047FB">
            <w:pPr>
              <w:pStyle w:val="a6"/>
              <w:tabs>
                <w:tab w:val="left" w:pos="480"/>
              </w:tabs>
              <w:spacing w:line="440" w:lineRule="exact"/>
              <w:jc w:val="both"/>
              <w:rPr>
                <w:rFonts w:ascii="標楷體" w:eastAsia="標楷體" w:hAnsi="標楷體" w:cs="微軟正黑體"/>
                <w:kern w:val="0"/>
                <w:sz w:val="28"/>
                <w:szCs w:val="28"/>
              </w:rPr>
            </w:pPr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評選重點：</w:t>
            </w:r>
            <w:r w:rsidRPr="008047FB">
              <w:rPr>
                <w:rFonts w:hint="eastAsia"/>
                <w:sz w:val="28"/>
                <w:szCs w:val="28"/>
              </w:rPr>
              <w:t xml:space="preserve"> </w:t>
            </w:r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AI 模型與技術選型是否合理，如 LLM、ML、RPA+AI、生成式AI等，是否採用可解釋性AI（XAI）、模型監控（Model Monitoring）資料治理、模型訓練、更新與版本控管是否完善，是否符合</w:t>
            </w:r>
            <w:proofErr w:type="gramStart"/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金融業資安</w:t>
            </w:r>
            <w:proofErr w:type="gramEnd"/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、隱私與資料最小化原則。</w:t>
            </w:r>
          </w:p>
        </w:tc>
      </w:tr>
      <w:tr w:rsidR="00EE4FB4" w:rsidRPr="0023658C" w14:paraId="459645B7" w14:textId="77777777" w:rsidTr="06F0289C">
        <w:trPr>
          <w:cantSplit/>
          <w:trHeight w:val="964"/>
        </w:trPr>
        <w:tc>
          <w:tcPr>
            <w:tcW w:w="1887" w:type="dxa"/>
            <w:vMerge/>
            <w:vAlign w:val="center"/>
          </w:tcPr>
          <w:p w14:paraId="200516E5" w14:textId="77777777" w:rsidR="00EE4FB4" w:rsidRPr="0001340B" w:rsidRDefault="00EE4FB4" w:rsidP="00EE4FB4">
            <w:pPr>
              <w:spacing w:line="440" w:lineRule="exact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</w:rPr>
            </w:pPr>
          </w:p>
        </w:tc>
        <w:tc>
          <w:tcPr>
            <w:tcW w:w="718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88FFD25" w14:textId="2FB917FD" w:rsidR="00684B84" w:rsidRPr="00DF2351" w:rsidRDefault="00684B84" w:rsidP="008047FB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DF235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AI</w:t>
            </w:r>
            <w:r w:rsidR="00DF2351" w:rsidRPr="00DF235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功能</w:t>
            </w:r>
            <w:r w:rsidRPr="00DF235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模組化</w:t>
            </w:r>
            <w:r w:rsidR="00065508" w:rsidRPr="00DF235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整合</w:t>
            </w:r>
            <w:r w:rsidR="00DF2351" w:rsidRPr="00DF235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，建構可分析、可互動、可推演的服務架構</w:t>
            </w:r>
          </w:p>
          <w:p w14:paraId="28193AC8" w14:textId="31374C42" w:rsidR="00EE4FB4" w:rsidRDefault="00834434" w:rsidP="008047FB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="63F0D85F" w:rsidRPr="4643B3DD">
              <w:rPr>
                <w:rFonts w:ascii="標楷體" w:eastAsia="標楷體" w:hAnsi="標楷體"/>
                <w:sz w:val="28"/>
                <w:szCs w:val="28"/>
              </w:rPr>
              <w:t>的技術可行性，不在於技術名詞的堆疊，而在於能否將 AI 真正落實於高資訊密度、高決策強度的證券服務場景，並轉化為投資人可感知、可操作、可持續使用的服務體驗。</w:t>
            </w:r>
            <w:r w:rsidR="63F0D85F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 xml:space="preserve">基於此一思維，富邦證券系統性整合生成式 </w:t>
            </w:r>
            <w:r w:rsidR="63F0D85F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lastRenderedPageBreak/>
              <w:t>AI、資訊整合、內容摘要、互動問答、歷史型態比對與個人化分析等能力，全面導入投資人決策旅程，打造具完整性與實用性的智慧投資平台</w:t>
            </w:r>
            <w:r w:rsidR="1051AD70" w:rsidRPr="4643B3DD">
              <w:rPr>
                <w:rFonts w:ascii="標楷體" w:eastAsia="標楷體" w:hAnsi="標楷體"/>
                <w:sz w:val="28"/>
                <w:szCs w:val="28"/>
              </w:rPr>
              <w:t>。</w:t>
            </w:r>
          </w:p>
          <w:p w14:paraId="249A9DF1" w14:textId="02965A27" w:rsidR="00834434" w:rsidRDefault="00834434" w:rsidP="00834434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2" behindDoc="0" locked="0" layoutInCell="1" allowOverlap="1" wp14:anchorId="22BCEE5B" wp14:editId="4B0E424C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2907665</wp:posOffset>
                  </wp:positionV>
                  <wp:extent cx="3966845" cy="2756535"/>
                  <wp:effectExtent l="0" t="0" r="0" b="5715"/>
                  <wp:wrapTopAndBottom/>
                  <wp:docPr id="39221175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211758" name="Picture 39221175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845" cy="275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在資訊理解層面，</w:t>
            </w:r>
            <w:r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透過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AI分析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師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、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AI投資助理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與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proofErr w:type="gramStart"/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法說會摘要</w:t>
            </w:r>
            <w:proofErr w:type="gramEnd"/>
            <w:r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，建構平台的 AI 資訊理解引擎。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AI分析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師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從個股出發，整合投</w:t>
            </w:r>
            <w:proofErr w:type="gramStart"/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研</w:t>
            </w:r>
            <w:proofErr w:type="gramEnd"/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重點、營運概況、競爭分析與市場關注度，協助投資人快速掌握標的輪廓；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06F0289C">
              <w:rPr>
                <w:rFonts w:ascii="標楷體" w:eastAsia="標楷體" w:hAnsi="標楷體"/>
                <w:sz w:val="28"/>
                <w:szCs w:val="28"/>
              </w:rPr>
              <w:t>AI投資助理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以自然語言問答方式，降低資訊查詢與理解門檻；</w:t>
            </w:r>
            <w:proofErr w:type="gramStart"/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法說會摘要</w:t>
            </w:r>
            <w:proofErr w:type="gramEnd"/>
            <w:r w:rsidR="126FECF6" w:rsidRPr="06F0289C">
              <w:rPr>
                <w:rFonts w:ascii="標楷體" w:eastAsia="標楷體" w:hAnsi="標楷體"/>
                <w:sz w:val="28"/>
                <w:szCs w:val="28"/>
              </w:rPr>
              <w:t>則將企業長篇揭露內容轉化為可快速吸收與比較的關鍵資訊。整體而言，平台已具備成熟的內容萃取、語意整合與知識轉譯能力，有效提升投資人資訊吸收效率</w:t>
            </w:r>
            <w:r w:rsidR="4FF697F1" w:rsidRPr="06F0289C">
              <w:rPr>
                <w:rFonts w:ascii="標楷體" w:eastAsia="標楷體" w:hAnsi="標楷體"/>
                <w:sz w:val="28"/>
                <w:szCs w:val="28"/>
              </w:rPr>
              <w:t>。</w:t>
            </w:r>
          </w:p>
          <w:p w14:paraId="30AF3CCA" w14:textId="2577DE42" w:rsidR="06F0289C" w:rsidRPr="00834434" w:rsidRDefault="7716A7B8" w:rsidP="00834434">
            <w:pPr>
              <w:pStyle w:val="a6"/>
              <w:tabs>
                <w:tab w:val="left" w:pos="480"/>
              </w:tabs>
              <w:spacing w:afterLines="50" w:after="180" w:line="4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br/>
            </w:r>
            <w:r w:rsidR="7725E148" w:rsidRPr="06F0289C">
              <w:rPr>
                <w:rFonts w:ascii="標楷體" w:eastAsia="標楷體" w:hAnsi="標楷體"/>
                <w:sz w:val="24"/>
                <w:szCs w:val="24"/>
              </w:rPr>
              <w:t>▲</w:t>
            </w:r>
            <w:r w:rsidR="7725E148" w:rsidRPr="06F0289C">
              <w:rPr>
                <w:rFonts w:ascii="標楷體" w:eastAsia="標楷體" w:hAnsi="標楷體" w:cs="Arial"/>
                <w:b/>
                <w:bCs/>
                <w:sz w:val="24"/>
                <w:szCs w:val="24"/>
              </w:rPr>
              <w:t xml:space="preserve"> </w:t>
            </w:r>
            <w:r w:rsidR="337AA09F" w:rsidRPr="06F0289C">
              <w:rPr>
                <w:rFonts w:ascii="標楷體" w:eastAsia="標楷體" w:hAnsi="標楷體" w:cs="Arial"/>
                <w:sz w:val="24"/>
                <w:szCs w:val="24"/>
              </w:rPr>
              <w:t>AI 分析師結合生成式 AI，彙整投顧報告與新聞資料，提供個股關鍵摘要與新聞聲量分析，快速呈現市場關注度與趨勢，協助使用者即時做出投資判斷。</w:t>
            </w:r>
          </w:p>
          <w:p w14:paraId="22A2BC1E" w14:textId="739E5A36" w:rsidR="008047FB" w:rsidRDefault="00C25F68" w:rsidP="008047FB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在分析推演層面，</w:t>
            </w:r>
            <w:r w:rsidR="00834434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整合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相似K線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K</w:t>
            </w:r>
            <w:proofErr w:type="gramStart"/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線選股</w:t>
            </w:r>
            <w:proofErr w:type="gramEnd"/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與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K線畫線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等功能，強化技術分析的可理解性與可操作性。透過歷史型態比對、條件搜尋與互動式圖表標</w:t>
            </w:r>
            <w:proofErr w:type="gramStart"/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註</w:t>
            </w:r>
            <w:proofErr w:type="gramEnd"/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，投資人得以從單純「看圖」，進一步理解型態</w:t>
            </w:r>
            <w:proofErr w:type="gramStart"/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意涵並實際</w:t>
            </w:r>
            <w:proofErr w:type="gramEnd"/>
            <w:r w:rsidRPr="00C25F68">
              <w:rPr>
                <w:rFonts w:ascii="標楷體" w:eastAsia="標楷體" w:hAnsi="標楷體" w:hint="eastAsia"/>
                <w:sz w:val="28"/>
                <w:szCs w:val="28"/>
              </w:rPr>
              <w:t>應用於研究與判斷，將原本仰賴經驗的分析能力轉化為直觀的數位工具</w:t>
            </w:r>
            <w:r w:rsidR="008047FB" w:rsidRPr="008047FB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271C04D2" w14:textId="13271678" w:rsidR="2960532A" w:rsidRPr="00137A07" w:rsidRDefault="00137A07" w:rsidP="00137A07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1314" behindDoc="0" locked="0" layoutInCell="1" allowOverlap="1" wp14:anchorId="6E6ECD9D" wp14:editId="4DB664FA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1990725</wp:posOffset>
                  </wp:positionV>
                  <wp:extent cx="3948430" cy="3438525"/>
                  <wp:effectExtent l="0" t="0" r="0" b="0"/>
                  <wp:wrapTopAndBottom/>
                  <wp:docPr id="3056404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40433" name="Picture 30564043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430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D0B1026" w:rsidRPr="06F0289C">
              <w:rPr>
                <w:rFonts w:ascii="標楷體" w:eastAsia="標楷體" w:hAnsi="標楷體"/>
                <w:sz w:val="28"/>
                <w:szCs w:val="28"/>
              </w:rPr>
              <w:t>在個人化與情境式服務層面，</w:t>
            </w:r>
            <w:r w:rsidR="00834434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="0D0B1026" w:rsidRPr="06F0289C">
              <w:rPr>
                <w:rFonts w:ascii="標楷體" w:eastAsia="標楷體" w:hAnsi="標楷體"/>
                <w:sz w:val="28"/>
                <w:szCs w:val="28"/>
              </w:rPr>
              <w:t>透過投資行事曆與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="0D0B1026" w:rsidRPr="06F0289C">
              <w:rPr>
                <w:rFonts w:ascii="標楷體" w:eastAsia="標楷體" w:hAnsi="標楷體"/>
                <w:sz w:val="28"/>
                <w:szCs w:val="28"/>
              </w:rPr>
              <w:t>AI 個人化專區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0D0B1026" w:rsidRPr="06F0289C">
              <w:rPr>
                <w:rFonts w:ascii="標楷體" w:eastAsia="標楷體" w:hAnsi="標楷體"/>
                <w:sz w:val="28"/>
                <w:szCs w:val="28"/>
              </w:rPr>
              <w:t>，整合投資人關注標的、持股資訊、交易狀況與重要事件，提供具時間脈絡與高度關聯性的資訊呈現。搭配模擬交易與國外期貨整合服務，平台不僅強化決策支持，也展現向能力培養、多商品整合與高階個人化應用延伸的技術潛力</w:t>
            </w:r>
            <w:r w:rsidR="4FF697F1" w:rsidRPr="06F0289C">
              <w:rPr>
                <w:rFonts w:ascii="標楷體" w:eastAsia="標楷體" w:hAnsi="標楷體"/>
                <w:sz w:val="28"/>
                <w:szCs w:val="28"/>
              </w:rPr>
              <w:t>。</w:t>
            </w:r>
          </w:p>
          <w:p w14:paraId="07D46355" w14:textId="2892D365" w:rsidR="0968D4A7" w:rsidRDefault="0968D4A7" w:rsidP="06F0289C">
            <w:pPr>
              <w:pStyle w:val="a6"/>
              <w:spacing w:afterLines="50" w:after="180" w:line="440" w:lineRule="exact"/>
              <w:jc w:val="center"/>
              <w:rPr>
                <w:rFonts w:ascii="標楷體" w:eastAsia="標楷體" w:hAnsi="標楷體" w:cs="Arial"/>
                <w:sz w:val="24"/>
                <w:szCs w:val="24"/>
              </w:rPr>
            </w:pPr>
            <w:r w:rsidRPr="06F0289C">
              <w:rPr>
                <w:rFonts w:ascii="標楷體" w:eastAsia="標楷體" w:hAnsi="標楷體"/>
                <w:sz w:val="24"/>
                <w:szCs w:val="24"/>
              </w:rPr>
              <w:t>▲</w:t>
            </w:r>
            <w:r w:rsidR="427F90B5" w:rsidRPr="06F0289C">
              <w:rPr>
                <w:rFonts w:ascii="標楷體" w:eastAsia="標楷體" w:hAnsi="標楷體" w:cs="Arial"/>
                <w:b/>
                <w:bCs/>
                <w:sz w:val="24"/>
                <w:szCs w:val="24"/>
              </w:rPr>
              <w:t xml:space="preserve"> </w:t>
            </w:r>
            <w:r w:rsidR="427F90B5" w:rsidRPr="06F0289C">
              <w:rPr>
                <w:rFonts w:ascii="標楷體" w:eastAsia="標楷體" w:hAnsi="標楷體" w:cs="Arial"/>
                <w:sz w:val="24"/>
                <w:szCs w:val="24"/>
              </w:rPr>
              <w:t>AI 個人化專區運用機器學習與生成式 AI，依使用者行為即時產生專屬推薦與關懷內容，打造一人一版的精</w:t>
            </w:r>
            <w:proofErr w:type="gramStart"/>
            <w:r w:rsidR="427F90B5" w:rsidRPr="06F0289C">
              <w:rPr>
                <w:rFonts w:ascii="標楷體" w:eastAsia="標楷體" w:hAnsi="標楷體" w:cs="Arial"/>
                <w:sz w:val="24"/>
                <w:szCs w:val="24"/>
              </w:rPr>
              <w:t>準</w:t>
            </w:r>
            <w:proofErr w:type="gramEnd"/>
            <w:r w:rsidR="427F90B5" w:rsidRPr="06F0289C">
              <w:rPr>
                <w:rFonts w:ascii="標楷體" w:eastAsia="標楷體" w:hAnsi="標楷體" w:cs="Arial"/>
                <w:sz w:val="24"/>
                <w:szCs w:val="24"/>
              </w:rPr>
              <w:t>體驗。</w:t>
            </w:r>
          </w:p>
          <w:p w14:paraId="7E4C062F" w14:textId="7CAFDB38" w:rsidR="008047FB" w:rsidRPr="008047FB" w:rsidRDefault="005035F6" w:rsidP="008047FB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綜上</w:t>
            </w:r>
            <w:r w:rsidR="00241B32" w:rsidRPr="00241B32"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="00834434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="00241B32" w:rsidRPr="00241B32">
              <w:rPr>
                <w:rFonts w:ascii="標楷體" w:eastAsia="標楷體" w:hAnsi="標楷體" w:hint="eastAsia"/>
                <w:sz w:val="28"/>
                <w:szCs w:val="28"/>
              </w:rPr>
              <w:t>並非為導入 AI 而導入 AI，而是以投資人關鍵決策痛點為核心，選擇</w:t>
            </w:r>
            <w:proofErr w:type="gramStart"/>
            <w:r w:rsidR="00241B32" w:rsidRPr="00241B32">
              <w:rPr>
                <w:rFonts w:ascii="標楷體" w:eastAsia="標楷體" w:hAnsi="標楷體" w:hint="eastAsia"/>
                <w:sz w:val="28"/>
                <w:szCs w:val="28"/>
              </w:rPr>
              <w:t>最</w:t>
            </w:r>
            <w:proofErr w:type="gramEnd"/>
            <w:r w:rsidR="00241B32" w:rsidRPr="00241B32">
              <w:rPr>
                <w:rFonts w:ascii="標楷體" w:eastAsia="標楷體" w:hAnsi="標楷體" w:hint="eastAsia"/>
                <w:sz w:val="28"/>
                <w:szCs w:val="28"/>
              </w:rPr>
              <w:t xml:space="preserve">適切的技術能力加以整合，打造真正符合證券場景需求的智慧投資服務。此種由場景驅動、由體驗落實的技術架構，使 </w:t>
            </w:r>
            <w:r w:rsidR="00834434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="00241B32" w:rsidRPr="00241B32">
              <w:rPr>
                <w:rFonts w:ascii="標楷體" w:eastAsia="標楷體" w:hAnsi="標楷體" w:hint="eastAsia"/>
                <w:sz w:val="28"/>
                <w:szCs w:val="28"/>
              </w:rPr>
              <w:t>兼具高度可行性、服務合理性與持續擴充性</w:t>
            </w:r>
            <w:r w:rsidR="008047FB" w:rsidRPr="008047FB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EE4FB4" w:rsidRPr="0023658C" w14:paraId="2A233D8A" w14:textId="77777777" w:rsidTr="06F0289C">
        <w:trPr>
          <w:cantSplit/>
          <w:trHeight w:val="709"/>
        </w:trPr>
        <w:tc>
          <w:tcPr>
            <w:tcW w:w="1887" w:type="dxa"/>
            <w:vMerge w:val="restart"/>
            <w:tcBorders>
              <w:top w:val="single" w:sz="4" w:space="0" w:color="auto"/>
            </w:tcBorders>
            <w:vAlign w:val="center"/>
          </w:tcPr>
          <w:p w14:paraId="30FD5513" w14:textId="6EF8B0B9" w:rsidR="00EE4FB4" w:rsidRPr="0001340B" w:rsidRDefault="00EE4FB4" w:rsidP="00EE4FB4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pacing w:val="-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</w:rPr>
              <w:lastRenderedPageBreak/>
              <w:t>營運效益與量化成果</w:t>
            </w:r>
            <w:r w:rsidRPr="00D252EA">
              <w:rPr>
                <w:rFonts w:ascii="標楷體" w:eastAsia="標楷體" w:hAnsi="標楷體" w:hint="eastAsia"/>
                <w:spacing w:val="-1"/>
                <w:sz w:val="28"/>
                <w:szCs w:val="28"/>
              </w:rPr>
              <w:t>25%</w:t>
            </w:r>
          </w:p>
        </w:tc>
        <w:tc>
          <w:tcPr>
            <w:tcW w:w="718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1B57A58" w14:textId="30A6B1E6" w:rsidR="00EE4FB4" w:rsidRPr="008047FB" w:rsidRDefault="00EE4FB4" w:rsidP="008047FB">
            <w:pPr>
              <w:pStyle w:val="a6"/>
              <w:tabs>
                <w:tab w:val="left" w:pos="480"/>
              </w:tabs>
              <w:spacing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評選重點：是否提出具體量化指標（KPI）， 成本降低（如人力、作業時間），效率提升（處理時間、通過率）， 風險降低（詐欺率、不良率），客戶體驗改善（滿意度、留存率），成效是否經內部或第三方驗證。</w:t>
            </w:r>
          </w:p>
        </w:tc>
      </w:tr>
      <w:tr w:rsidR="00EE4FB4" w:rsidRPr="00B05480" w14:paraId="7738A505" w14:textId="77777777" w:rsidTr="06F0289C">
        <w:trPr>
          <w:cantSplit/>
          <w:trHeight w:val="964"/>
        </w:trPr>
        <w:tc>
          <w:tcPr>
            <w:tcW w:w="1887" w:type="dxa"/>
            <w:vMerge/>
            <w:vAlign w:val="center"/>
          </w:tcPr>
          <w:p w14:paraId="24FC9A1F" w14:textId="77777777" w:rsidR="00EE4FB4" w:rsidRPr="0001340B" w:rsidRDefault="00EE4FB4" w:rsidP="00EE4FB4">
            <w:pPr>
              <w:spacing w:line="440" w:lineRule="exact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</w:rPr>
            </w:pP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14:paraId="60F3D216" w14:textId="6116F608" w:rsidR="00834434" w:rsidRPr="008047FB" w:rsidRDefault="00834434" w:rsidP="00834434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的價值不僅體現在產品創新本身，更在於全面重塑券商平台的經營模式、深化客戶互動關係，並系統性提升數位服務的整體價值。對投資人而言，</w:t>
            </w:r>
            <w:r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有效降低面對龐大且高變動性市場資訊時的理解門檻與研究成本，透過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AI 分析師」、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AI 投資助理」與</w:t>
            </w:r>
            <w:r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proofErr w:type="gramStart"/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法說會摘要</w:t>
            </w:r>
            <w:proofErr w:type="gramEnd"/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」等核心功能，協助使用者快速掌握關鍵重點，使投資資訊由「看得到」進一步升級為「看得懂」，同時兼顧新手入門需求與進階投資人的效率提升。</w:t>
            </w:r>
          </w:p>
          <w:p w14:paraId="40F11DF2" w14:textId="7D1DA2EF" w:rsidR="008047FB" w:rsidRPr="008047FB" w:rsidRDefault="0633A215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在使用體驗層面，</w:t>
            </w:r>
            <w:r w:rsidR="00834434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建構一</w:t>
            </w:r>
            <w:proofErr w:type="gramStart"/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站式的投資</w:t>
            </w:r>
            <w:proofErr w:type="gramEnd"/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支援環境，讓投資人能於同一券商 App 內完成提問、理解、搜尋、分析、追蹤、模擬與交易等完整流程，顯著降低對外部工具與跨平台操作的依賴，使券商 App 由單純的交易入口，進化為支撐完整投資旅程的核心平台，進而提升整體使用流暢度與黏著度。</w:t>
            </w:r>
          </w:p>
          <w:p w14:paraId="3B64038A" w14:textId="038DFA57" w:rsidR="008047FB" w:rsidRPr="008047FB" w:rsidRDefault="0633A215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從平台經營角度觀察，</w:t>
            </w:r>
            <w:r w:rsidR="00834434" w:rsidRPr="009A4393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有效擴大券商 App 的使用情境。平台不再僅於交易需求發生時被動啟用，而是透過 AI 分析、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投資行事曆</w:t>
            </w:r>
            <w:r w:rsidR="00834434" w:rsidRPr="4643B3DD">
              <w:rPr>
                <w:rFonts w:ascii="標楷體" w:eastAsia="標楷體" w:hAnsi="標楷體" w:cs="Arial"/>
                <w:sz w:val="28"/>
                <w:szCs w:val="28"/>
              </w:rPr>
              <w:t>」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、</w:t>
            </w:r>
            <w:r w:rsidR="00834434" w:rsidRPr="00834434">
              <w:rPr>
                <w:rFonts w:ascii="標楷體" w:eastAsia="標楷體" w:hAnsi="標楷體"/>
                <w:sz w:val="28"/>
                <w:szCs w:val="28"/>
              </w:rPr>
              <w:t>「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模擬交易</w:t>
            </w:r>
            <w:r w:rsidR="00834434" w:rsidRPr="4643B3DD">
              <w:rPr>
                <w:rFonts w:ascii="標楷體" w:eastAsia="標楷體" w:hAnsi="標楷體" w:cs="Arial"/>
                <w:sz w:val="28"/>
                <w:szCs w:val="28"/>
              </w:rPr>
              <w:t>」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、型態探索與個人化資訊推播，成為投資人盤前研究、盤中觀察與盤後追蹤的日常工具，持續帶動登入頻率、停留時間與跨功能使用率成長，推升整體活躍度。</w:t>
            </w:r>
          </w:p>
          <w:p w14:paraId="64C6FE3D" w14:textId="671CA27A" w:rsidR="008047FB" w:rsidRPr="008047FB" w:rsidRDefault="0633A215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此一價值轉變亦已明確反映於實際營運數據上。</w:t>
            </w:r>
            <w:r w:rsidRPr="4643B3DD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自 2025 年 11 月上線以來</w:t>
            </w:r>
            <w:r w:rsidRPr="00834434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，</w:t>
            </w:r>
            <w:r w:rsidR="00834434" w:rsidRPr="00834434"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>【富邦 AI PRO】</w:t>
            </w:r>
            <w:r w:rsidRPr="4643B3DD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已累積超過 28 萬下載人數、22.9 萬登入用戶，並帶動 7 萬筆以上實際交易人數，且下載、登入與交易量均呈現穩定的</w:t>
            </w:r>
            <w:proofErr w:type="gramStart"/>
            <w:r w:rsidRPr="4643B3DD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週</w:t>
            </w:r>
            <w:proofErr w:type="gramEnd"/>
            <w:r w:rsidRPr="4643B3DD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成長趨勢，顯示產品能力的升級已成功轉化為實際使用行為與投資決策</w:t>
            </w:r>
            <w:r w:rsidRPr="4643B3DD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lastRenderedPageBreak/>
              <w:t>動線的改變。</w:t>
            </w:r>
          </w:p>
          <w:p w14:paraId="6EF39FE8" w14:textId="27660133" w:rsidR="008047FB" w:rsidRPr="008047FB" w:rsidRDefault="0633A215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在使用型態上，投資人亦明顯將</w:t>
            </w:r>
            <w:r w:rsidR="00834434" w:rsidRPr="00834434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視為日常分析與決策輔助的主要入口。其中</w:t>
            </w:r>
            <w:r w:rsidRPr="00834434">
              <w:rPr>
                <w:rFonts w:ascii="標楷體" w:eastAsia="標楷體" w:hAnsi="標楷體" w:cs="Arial"/>
                <w:sz w:val="28"/>
                <w:szCs w:val="28"/>
              </w:rPr>
              <w:t>，</w:t>
            </w:r>
            <w:r w:rsidR="00834434" w:rsidRPr="00834434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「</w:t>
            </w:r>
            <w:r w:rsidRPr="00834434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AI 投資助理</w:t>
            </w:r>
            <w:r w:rsidR="00834434" w:rsidRPr="00834434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」</w:t>
            </w:r>
            <w:r w:rsidRPr="00834434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問答互動次數單月累積達 21,345 次，平均每日約 854 次，並於 2026 年 2 月 25 日創下單日 2,325 次的使用高峰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，顯示使用者已高度依賴 AI 問答進行即時分析、疑問</w:t>
            </w:r>
            <w:proofErr w:type="gramStart"/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釐</w:t>
            </w:r>
            <w:proofErr w:type="gramEnd"/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清與策略思考，成功將 AI 從輔助功能推升為核心互動介面。</w:t>
            </w:r>
          </w:p>
          <w:p w14:paraId="0675204D" w14:textId="748B2B11" w:rsidR="008047FB" w:rsidRPr="008047FB" w:rsidRDefault="0633A215" w:rsidP="16F39820">
            <w:pPr>
              <w:pStyle w:val="a6"/>
              <w:tabs>
                <w:tab w:val="left" w:pos="480"/>
              </w:tabs>
              <w:spacing w:afterLines="50" w:after="180" w:line="440" w:lineRule="exact"/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</w:pP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另一方面，</w:t>
            </w:r>
            <w:r w:rsidRPr="16F39820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市場與用戶回饋亦為產品價值提供正向佐證。</w:t>
            </w:r>
            <w:r w:rsidR="00834434" w:rsidRPr="00834434"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>【富邦 AI PRO】</w:t>
            </w:r>
            <w:r w:rsidRPr="16F39820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 xml:space="preserve"> 於 App Store 獲得 </w:t>
            </w:r>
            <w:r w:rsidRPr="4643B3DD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4.7 顆星評分</w:t>
            </w:r>
            <w:r w:rsidRPr="16F39820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 xml:space="preserve">，Google Play 累積 </w:t>
            </w:r>
            <w:r w:rsidRPr="4643B3DD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10 萬次以上下載</w:t>
            </w:r>
            <w:r w:rsidRPr="16F39820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，用戶普遍肯定其 AI 分析能力、資訊整合深度與操作效率，認為有助於提升投資決策品質與使用體驗，進一步強化品牌信任與平台吸引力。</w:t>
            </w:r>
          </w:p>
          <w:p w14:paraId="57A312CB" w14:textId="36093B33" w:rsidR="00E31F14" w:rsidRDefault="00E31F14" w:rsidP="00E31F14">
            <w:pPr>
              <w:pStyle w:val="a6"/>
              <w:tabs>
                <w:tab w:val="left" w:pos="480"/>
              </w:tabs>
              <w:spacing w:afterLines="50" w:after="180" w:line="440" w:lineRule="exact"/>
              <w:rPr>
                <w:rFonts w:ascii="標楷體" w:eastAsia="標楷體" w:hAnsi="標楷體" w:cs="標楷體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609A7BE4" wp14:editId="5C43C509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354330</wp:posOffset>
                  </wp:positionV>
                  <wp:extent cx="4219575" cy="2771775"/>
                  <wp:effectExtent l="0" t="0" r="9525" b="9525"/>
                  <wp:wrapTopAndBottom/>
                  <wp:docPr id="14330482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913398" name="Picture 180291339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AB0B3A" w14:textId="50C60462" w:rsidR="008047FB" w:rsidRPr="008047FB" w:rsidRDefault="2F642940" w:rsidP="747D08EA">
            <w:pPr>
              <w:pStyle w:val="a6"/>
              <w:tabs>
                <w:tab w:val="left" w:pos="480"/>
              </w:tabs>
              <w:spacing w:afterLines="50" w:after="180" w:line="440" w:lineRule="exact"/>
              <w:jc w:val="center"/>
              <w:rPr>
                <w:rFonts w:ascii="標楷體" w:eastAsia="標楷體" w:hAnsi="標楷體" w:cs="標楷體"/>
                <w:color w:val="000000" w:themeColor="text1"/>
                <w:sz w:val="24"/>
                <w:szCs w:val="24"/>
              </w:rPr>
            </w:pPr>
            <w:r w:rsidRPr="747D08EA">
              <w:rPr>
                <w:rFonts w:ascii="標楷體" w:eastAsia="標楷體" w:hAnsi="標楷體" w:cs="標楷體"/>
                <w:color w:val="000000" w:themeColor="text1"/>
                <w:sz w:val="24"/>
                <w:szCs w:val="24"/>
              </w:rPr>
              <w:t>▲富邦 AI PRO 於 App Store 獲得 4.7 顆星高分評價</w:t>
            </w:r>
          </w:p>
          <w:p w14:paraId="7EBF3BA7" w14:textId="2EE40385" w:rsidR="008047FB" w:rsidRPr="008047FB" w:rsidRDefault="008047FB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  <w:u w:val="single"/>
              </w:rPr>
            </w:pPr>
          </w:p>
          <w:p w14:paraId="621515E6" w14:textId="72B2AE73" w:rsidR="008047FB" w:rsidRPr="008047FB" w:rsidRDefault="0633A215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當投資人能在同一平台中完成資訊理解、問題</w:t>
            </w:r>
            <w:proofErr w:type="gramStart"/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釐</w:t>
            </w:r>
            <w:proofErr w:type="gramEnd"/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清、策略驗證與投資脈絡回顧，其對券商 App 的認知亦由「下單工具」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lastRenderedPageBreak/>
              <w:t>轉變為「決策夥伴」。此一由工具性走向決策性價值的轉變，不僅強化平台在投資流程中的影響力，也為長期客戶經營、商品延伸與高價值客群服務奠定堅實基礎。</w:t>
            </w:r>
          </w:p>
          <w:p w14:paraId="09B17094" w14:textId="10066299" w:rsidR="008047FB" w:rsidRPr="008047FB" w:rsidRDefault="0633A215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整體而言，</w:t>
            </w:r>
            <w:r w:rsidR="00834434"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的營運效益可歸納為三個核心面向：</w:t>
            </w:r>
            <w:r w:rsidRPr="4643B3DD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大幅提升投資資訊理解效率與客戶體驗、有效擴大非交易時刻的使用價值、並強化券商數位服務的差異化與長期經營潛力</w:t>
            </w:r>
            <w:r w:rsidRPr="4643B3DD">
              <w:rPr>
                <w:rFonts w:ascii="標楷體" w:eastAsia="標楷體" w:hAnsi="標楷體" w:cs="Arial"/>
                <w:sz w:val="28"/>
                <w:szCs w:val="28"/>
              </w:rPr>
              <w:t>，實質推動券商由交易導向走向決策導向的數位服務模式升級。</w:t>
            </w:r>
          </w:p>
        </w:tc>
      </w:tr>
      <w:tr w:rsidR="00EE4FB4" w:rsidRPr="0023658C" w14:paraId="011DC184" w14:textId="77777777" w:rsidTr="06F0289C">
        <w:trPr>
          <w:cantSplit/>
          <w:trHeight w:val="518"/>
        </w:trPr>
        <w:tc>
          <w:tcPr>
            <w:tcW w:w="1887" w:type="dxa"/>
            <w:vMerge w:val="restart"/>
            <w:tcBorders>
              <w:top w:val="single" w:sz="4" w:space="0" w:color="auto"/>
            </w:tcBorders>
            <w:vAlign w:val="center"/>
          </w:tcPr>
          <w:p w14:paraId="531FA70D" w14:textId="77777777" w:rsidR="00EE4FB4" w:rsidRPr="0001340B" w:rsidRDefault="00EE4FB4" w:rsidP="00EE4FB4">
            <w:pPr>
              <w:spacing w:line="440" w:lineRule="exact"/>
              <w:jc w:val="center"/>
              <w:rPr>
                <w:rFonts w:ascii="Times New Roman" w:eastAsia="標楷體" w:hAnsi="Times New Roman" w:cs="Times New Roman"/>
                <w:spacing w:val="-1"/>
                <w:sz w:val="28"/>
                <w:szCs w:val="28"/>
              </w:rPr>
            </w:pPr>
            <w:r w:rsidRPr="007736CC">
              <w:rPr>
                <w:rFonts w:ascii="標楷體" w:eastAsia="標楷體" w:hAnsi="標楷體" w:hint="eastAsia"/>
                <w:spacing w:val="-1"/>
                <w:sz w:val="28"/>
                <w:szCs w:val="28"/>
              </w:rPr>
              <w:lastRenderedPageBreak/>
              <w:t xml:space="preserve">AI 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</w:rPr>
              <w:t>治理與法</w:t>
            </w:r>
            <w:proofErr w:type="gramStart"/>
            <w:r>
              <w:rPr>
                <w:rFonts w:ascii="標楷體" w:eastAsia="標楷體" w:hAnsi="標楷體" w:hint="eastAsia"/>
                <w:spacing w:val="-1"/>
                <w:sz w:val="28"/>
                <w:szCs w:val="28"/>
              </w:rPr>
              <w:t>遵</w:t>
            </w:r>
            <w:proofErr w:type="gramEnd"/>
            <w:r>
              <w:rPr>
                <w:rFonts w:ascii="標楷體" w:eastAsia="標楷體" w:hAnsi="標楷體" w:hint="eastAsia"/>
                <w:spacing w:val="-1"/>
                <w:sz w:val="28"/>
                <w:szCs w:val="28"/>
              </w:rPr>
              <w:t>設計</w:t>
            </w:r>
            <w:r w:rsidRPr="007736CC">
              <w:rPr>
                <w:rFonts w:ascii="標楷體" w:eastAsia="標楷體" w:hAnsi="標楷體" w:hint="eastAsia"/>
                <w:spacing w:val="-1"/>
                <w:sz w:val="28"/>
                <w:szCs w:val="28"/>
              </w:rPr>
              <w:t>20%</w:t>
            </w:r>
          </w:p>
        </w:tc>
        <w:tc>
          <w:tcPr>
            <w:tcW w:w="718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0588FD8" w14:textId="77777777" w:rsidR="00EE4FB4" w:rsidRPr="008047FB" w:rsidRDefault="00EE4FB4" w:rsidP="008047FB">
            <w:pPr>
              <w:pStyle w:val="a6"/>
              <w:tabs>
                <w:tab w:val="left" w:pos="480"/>
              </w:tabs>
              <w:spacing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評選重點：是否納入 AI 風險管理、模型責任歸屬與人機協作機制，</w:t>
            </w:r>
          </w:p>
          <w:p w14:paraId="6092F715" w14:textId="77777777" w:rsidR="00EE4FB4" w:rsidRPr="008047FB" w:rsidRDefault="00EE4FB4" w:rsidP="008047FB">
            <w:pPr>
              <w:pStyle w:val="a6"/>
              <w:tabs>
                <w:tab w:val="left" w:pos="480"/>
              </w:tabs>
              <w:spacing w:line="440" w:lineRule="exact"/>
              <w:jc w:val="both"/>
              <w:rPr>
                <w:rFonts w:ascii="標楷體" w:eastAsia="標楷體" w:hAnsi="標楷體" w:cs="微軟正黑體"/>
                <w:kern w:val="0"/>
                <w:sz w:val="28"/>
                <w:szCs w:val="28"/>
              </w:rPr>
            </w:pPr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是否符合金管會、</w:t>
            </w:r>
            <w:proofErr w:type="gramStart"/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資法、</w:t>
            </w:r>
            <w:proofErr w:type="gramStart"/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資安法</w:t>
            </w:r>
            <w:proofErr w:type="gramEnd"/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等規範，是否建立內部 AI 使用規範、審查與稽核流程。</w:t>
            </w:r>
          </w:p>
        </w:tc>
      </w:tr>
      <w:tr w:rsidR="00EE4FB4" w:rsidRPr="0023658C" w14:paraId="512C89A0" w14:textId="77777777" w:rsidTr="06F0289C">
        <w:trPr>
          <w:cantSplit/>
          <w:trHeight w:val="964"/>
        </w:trPr>
        <w:tc>
          <w:tcPr>
            <w:tcW w:w="1887" w:type="dxa"/>
            <w:vMerge/>
            <w:vAlign w:val="center"/>
          </w:tcPr>
          <w:p w14:paraId="6D95A17E" w14:textId="77777777" w:rsidR="00EE4FB4" w:rsidRPr="00253EE2" w:rsidRDefault="00EE4FB4" w:rsidP="00EE4FB4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7185" w:type="dxa"/>
            <w:tcBorders>
              <w:bottom w:val="single" w:sz="18" w:space="0" w:color="auto"/>
            </w:tcBorders>
            <w:vAlign w:val="center"/>
          </w:tcPr>
          <w:p w14:paraId="1753F2AD" w14:textId="59AC4A08" w:rsidR="040E66B5" w:rsidRDefault="040E66B5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</w:pPr>
            <w:bookmarkStart w:id="0" w:name="_Hlk226995339"/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</w:rPr>
              <w:t>以完整治理機制與多重護欄設計，確保 AI 應用穩健、可信且可持續</w:t>
            </w:r>
          </w:p>
          <w:p w14:paraId="3BFAF174" w14:textId="286BCB33" w:rsidR="5A105BAA" w:rsidRDefault="00A75899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24711204" wp14:editId="3833F7B1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2113280</wp:posOffset>
                  </wp:positionV>
                  <wp:extent cx="4453890" cy="1771650"/>
                  <wp:effectExtent l="0" t="0" r="0" b="0"/>
                  <wp:wrapTopAndBottom/>
                  <wp:docPr id="1950586861" name="drawing" descr="一張含有 文字, 螢幕擷取畫面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354900" name="drawing" descr="一張含有 文字, 螢幕擷取畫面, 數字 的圖片&#10;&#10;AI 產生的內容可能不正確。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89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40E66B5" w:rsidRPr="00457E7F">
              <w:rPr>
                <w:rFonts w:ascii="標楷體" w:eastAsia="標楷體" w:hAnsi="標楷體"/>
                <w:sz w:val="28"/>
                <w:szCs w:val="28"/>
              </w:rPr>
              <w:t>在金融產業高度監理與高度信任要求下，AI 應用的關鍵不僅在於功能創新，更在於是否具備完善治理、風險控管與持續監督機制。富邦證券推動</w:t>
            </w:r>
            <w:r w:rsidR="00834434" w:rsidRPr="00834434">
              <w:rPr>
                <w:rFonts w:ascii="標楷體" w:eastAsia="標楷體" w:hAnsi="標楷體" w:hint="eastAsia"/>
                <w:sz w:val="28"/>
                <w:szCs w:val="28"/>
              </w:rPr>
              <w:t>【</w:t>
            </w:r>
            <w:r w:rsidR="00834434"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富邦 AI PRO</w:t>
            </w:r>
            <w:r w:rsidR="00834434" w:rsidRPr="00834434">
              <w:rPr>
                <w:rFonts w:ascii="標楷體" w:eastAsia="標楷體" w:hAnsi="標楷體" w:hint="eastAsia"/>
                <w:sz w:val="28"/>
                <w:szCs w:val="28"/>
              </w:rPr>
              <w:t>】</w:t>
            </w:r>
            <w:r w:rsidR="040E66B5" w:rsidRPr="00457E7F">
              <w:rPr>
                <w:rFonts w:ascii="標楷體" w:eastAsia="標楷體" w:hAnsi="標楷體"/>
                <w:sz w:val="28"/>
                <w:szCs w:val="28"/>
              </w:rPr>
              <w:t xml:space="preserve"> 時，已將相關 AI 功能全面納入公司既有人工智慧治理架構管理，</w:t>
            </w:r>
            <w:r w:rsidR="040E66B5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透過「組織治理、風險控管、系統生命週期管理」三大面向，確保各項 AI 應用在上線前均完成評估、審核</w:t>
            </w:r>
            <w:proofErr w:type="gramStart"/>
            <w:r w:rsidR="040E66B5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與核決</w:t>
            </w:r>
            <w:proofErr w:type="gramEnd"/>
            <w:r w:rsidR="040E66B5"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 xml:space="preserve">，並於上線後持續納入追蹤與監控，落實負責任的 AI 實踐。  </w:t>
            </w:r>
          </w:p>
          <w:p w14:paraId="27E83B40" w14:textId="6CCD01D2" w:rsidR="00E00E4B" w:rsidRPr="002C6565" w:rsidRDefault="26C6DB3E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center"/>
              <w:rPr>
                <w:rFonts w:ascii="標楷體" w:eastAsia="標楷體" w:hAnsi="標楷體" w:cs="標楷體"/>
                <w:b/>
                <w:bCs/>
                <w:sz w:val="24"/>
                <w:szCs w:val="24"/>
                <w:u w:val="single"/>
              </w:rPr>
            </w:pPr>
            <w:r w:rsidRPr="093D56DA">
              <w:rPr>
                <w:rFonts w:ascii="標楷體" w:eastAsia="標楷體" w:hAnsi="標楷體"/>
                <w:sz w:val="24"/>
                <w:szCs w:val="24"/>
                <w:u w:val="single"/>
              </w:rPr>
              <w:t>▲風險控管機制</w:t>
            </w:r>
          </w:p>
          <w:p w14:paraId="04101E32" w14:textId="42C4F0B1" w:rsidR="002C6565" w:rsidRPr="00A75899" w:rsidRDefault="040E66B5" w:rsidP="00457E7F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457E7F">
              <w:rPr>
                <w:rFonts w:ascii="標楷體" w:eastAsia="標楷體" w:hAnsi="標楷體"/>
                <w:sz w:val="28"/>
                <w:szCs w:val="28"/>
              </w:rPr>
              <w:lastRenderedPageBreak/>
              <w:t>在治理機制上，富邦證券設有人工智慧治理委員會作為 AI 發展與治理之最高決策單位，並由人工智慧治理執行小組統籌制度落實、疑義</w:t>
            </w:r>
            <w:proofErr w:type="gramStart"/>
            <w:r w:rsidRPr="00457E7F">
              <w:rPr>
                <w:rFonts w:ascii="標楷體" w:eastAsia="標楷體" w:hAnsi="標楷體"/>
                <w:sz w:val="28"/>
                <w:szCs w:val="28"/>
              </w:rPr>
              <w:t>釐</w:t>
            </w:r>
            <w:proofErr w:type="gramEnd"/>
            <w:r w:rsidRPr="00457E7F">
              <w:rPr>
                <w:rFonts w:ascii="標楷體" w:eastAsia="標楷體" w:hAnsi="標楷體"/>
                <w:sz w:val="28"/>
                <w:szCs w:val="28"/>
              </w:rPr>
              <w:t>清及風險、法規、系統整合等議題諮詢。</w:t>
            </w:r>
            <w:r w:rsidR="00834434"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="00AE549A" w:rsidRPr="00AE549A">
              <w:rPr>
                <w:rFonts w:ascii="標楷體" w:eastAsia="標楷體" w:hAnsi="標楷體" w:hint="eastAsia"/>
                <w:sz w:val="28"/>
                <w:szCs w:val="28"/>
              </w:rPr>
              <w:t>所涉及之 AI 功能，</w:t>
            </w:r>
            <w:proofErr w:type="gramStart"/>
            <w:r w:rsidR="00AE549A" w:rsidRPr="00AE549A">
              <w:rPr>
                <w:rFonts w:ascii="標楷體" w:eastAsia="標楷體" w:hAnsi="標楷體" w:hint="eastAsia"/>
                <w:sz w:val="28"/>
                <w:szCs w:val="28"/>
              </w:rPr>
              <w:t>均須依</w:t>
            </w:r>
            <w:proofErr w:type="gramEnd"/>
            <w:r w:rsidR="00AE549A" w:rsidRPr="00AE549A">
              <w:rPr>
                <w:rFonts w:ascii="標楷體" w:eastAsia="標楷體" w:hAnsi="標楷體" w:hint="eastAsia"/>
                <w:sz w:val="28"/>
                <w:szCs w:val="28"/>
              </w:rPr>
              <w:t>制度化流程進行管</w:t>
            </w:r>
            <w:r w:rsidRPr="00457E7F">
              <w:rPr>
                <w:rFonts w:ascii="標楷體" w:eastAsia="標楷體" w:hAnsi="標楷體"/>
                <w:sz w:val="28"/>
                <w:szCs w:val="28"/>
              </w:rPr>
              <w:t>理，由需求單位先行自評風險與適法性，再經風險管理、法令遵循、資訊安全等第二道防線審核，最後</w:t>
            </w:r>
            <w:proofErr w:type="gramStart"/>
            <w:r w:rsidRPr="00457E7F">
              <w:rPr>
                <w:rFonts w:ascii="標楷體" w:eastAsia="標楷體" w:hAnsi="標楷體"/>
                <w:sz w:val="28"/>
                <w:szCs w:val="28"/>
              </w:rPr>
              <w:t>依核決</w:t>
            </w:r>
            <w:proofErr w:type="gramEnd"/>
            <w:r w:rsidRPr="00457E7F">
              <w:rPr>
                <w:rFonts w:ascii="標楷體" w:eastAsia="標楷體" w:hAnsi="標楷體"/>
                <w:sz w:val="28"/>
                <w:szCs w:val="28"/>
              </w:rPr>
              <w:t>層級完成審查程序，確保各項功能並非在缺乏控管下直接面向客戶提供服務。</w:t>
            </w:r>
          </w:p>
          <w:p w14:paraId="4E3F17F5" w14:textId="41A75881" w:rsidR="000B52D6" w:rsidRDefault="000B52D6" w:rsidP="00457E7F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</w:pPr>
          </w:p>
          <w:p w14:paraId="0545889A" w14:textId="21262A41" w:rsidR="000B52D6" w:rsidRDefault="000B52D6" w:rsidP="00457E7F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</w:pPr>
          </w:p>
          <w:p w14:paraId="388929B1" w14:textId="4C93DD5F" w:rsidR="000B52D6" w:rsidRDefault="000B52D6" w:rsidP="00457E7F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</w:pPr>
          </w:p>
          <w:p w14:paraId="0BB948BB" w14:textId="18141E30" w:rsidR="000B52D6" w:rsidRDefault="000B52D6" w:rsidP="00457E7F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</w:pPr>
          </w:p>
          <w:p w14:paraId="66118190" w14:textId="27B9B47A" w:rsidR="000B52D6" w:rsidRDefault="000B52D6" w:rsidP="00457E7F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</w:pPr>
            <w:r>
              <w:rPr>
                <w:noProof/>
              </w:rPr>
              <w:drawing>
                <wp:inline distT="0" distB="0" distL="0" distR="0" wp14:anchorId="63A73489" wp14:editId="20974A55">
                  <wp:extent cx="4505325" cy="1409381"/>
                  <wp:effectExtent l="0" t="0" r="0" b="0"/>
                  <wp:docPr id="2051009306" name="drawing" descr="一張含有 字型, 文字, 行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150691" name="drawing" descr="一張含有 字型, 文字, 行, 設計 的圖片&#10;&#10;AI 產生的內容可能不正確。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1409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92BAA" w14:textId="08370ED7" w:rsidR="00457E7F" w:rsidRPr="007A0328" w:rsidRDefault="4A359748" w:rsidP="4643B3DD">
            <w:pPr>
              <w:pStyle w:val="a6"/>
              <w:widowControl/>
              <w:tabs>
                <w:tab w:val="left" w:pos="480"/>
              </w:tabs>
              <w:spacing w:afterLines="50" w:after="180" w:line="440" w:lineRule="exact"/>
              <w:jc w:val="center"/>
              <w:rPr>
                <w:rFonts w:ascii="標楷體" w:eastAsia="標楷體" w:hAnsi="標楷體" w:cs="標楷體"/>
                <w:b/>
                <w:bCs/>
                <w:u w:val="single"/>
              </w:rPr>
            </w:pPr>
            <w:r w:rsidRPr="002C6565">
              <w:rPr>
                <w:rFonts w:ascii="標楷體" w:eastAsia="標楷體" w:hAnsi="標楷體"/>
                <w:sz w:val="24"/>
                <w:szCs w:val="24"/>
                <w:u w:val="single"/>
              </w:rPr>
              <w:t>▲人工智慧治理組織架構</w:t>
            </w:r>
          </w:p>
          <w:p w14:paraId="10D21D91" w14:textId="31C12EA4" w:rsidR="00457E7F" w:rsidRPr="00457E7F" w:rsidRDefault="00457E7F" w:rsidP="00457E7F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457E7F">
              <w:rPr>
                <w:rFonts w:ascii="標楷體" w:eastAsia="標楷體" w:hAnsi="標楷體" w:hint="eastAsia"/>
                <w:sz w:val="28"/>
                <w:szCs w:val="28"/>
              </w:rPr>
              <w:t>在系統生命週期控管上，</w:t>
            </w:r>
            <w:r w:rsidR="00834434" w:rsidRPr="00834434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00457E7F">
              <w:rPr>
                <w:rFonts w:ascii="標楷體" w:eastAsia="標楷體" w:hAnsi="標楷體" w:hint="eastAsia"/>
                <w:sz w:val="28"/>
                <w:szCs w:val="28"/>
              </w:rPr>
              <w:t xml:space="preserve">相關功能自規劃、設計、資料輸入、模型建立、驗證到佈署與監控，各階段皆有相應控管措施。資料使用過程重視來源確認、處理軌跡留存與適法性管理，確保資料可回溯、可檢視；模型與系統上線後，亦持續監控其運作表現與服務品質，形成完整的事前審查、事中控管、事後追蹤機制。  </w:t>
            </w:r>
          </w:p>
          <w:p w14:paraId="43E86443" w14:textId="53ABE035" w:rsidR="007559D2" w:rsidRDefault="040E66B5" w:rsidP="00457E7F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</w:pPr>
            <w:proofErr w:type="gramStart"/>
            <w:r w:rsidRPr="4643B3DD">
              <w:rPr>
                <w:rFonts w:ascii="標楷體" w:eastAsia="標楷體" w:hAnsi="標楷體"/>
                <w:sz w:val="28"/>
                <w:szCs w:val="28"/>
              </w:rPr>
              <w:t>此外，</w:t>
            </w:r>
            <w:proofErr w:type="gramEnd"/>
            <w:r w:rsidRPr="4643B3DD">
              <w:rPr>
                <w:rFonts w:ascii="標楷體" w:eastAsia="標楷體" w:hAnsi="標楷體"/>
                <w:sz w:val="28"/>
                <w:szCs w:val="28"/>
              </w:rPr>
              <w:t>針對生成式 AI 可能產生不正確、不完整或不恰當資訊之風險，</w:t>
            </w:r>
            <w:r w:rsidR="002E5B80"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>亦設有幻覺檢核與相關護欄機制。平台要求 AI 回應須建立在既有資料來源、明確應用情境與可控範圍內，並透過內容限制、輸出控管與風險檢核，降低 AI 提供錯誤資訊或不當內容予用戶的可能性。</w:t>
            </w:r>
          </w:p>
          <w:p w14:paraId="70E0BC02" w14:textId="3DAB8E0C" w:rsidR="007559D2" w:rsidRDefault="040E66B5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</w:pPr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整體而言，</w:t>
            </w:r>
            <w:r w:rsidR="002E5B80" w:rsidRPr="00834434"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>【富邦 AI PRO】</w:t>
            </w:r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的 AI 治理設計強調四項核心原則：</w:t>
            </w:r>
          </w:p>
          <w:p w14:paraId="3730B859" w14:textId="77777777" w:rsidR="007559D2" w:rsidRDefault="040E66B5" w:rsidP="4643B3DD">
            <w:pPr>
              <w:pStyle w:val="a6"/>
              <w:tabs>
                <w:tab w:val="left" w:pos="480"/>
              </w:tabs>
              <w:spacing w:line="440" w:lineRule="exact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</w:pPr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lastRenderedPageBreak/>
              <w:t>一、AI 功能須經正式評估與審核後始得上線；</w:t>
            </w:r>
          </w:p>
          <w:p w14:paraId="69906B85" w14:textId="77777777" w:rsidR="007559D2" w:rsidRDefault="040E66B5" w:rsidP="4643B3DD">
            <w:pPr>
              <w:pStyle w:val="a6"/>
              <w:tabs>
                <w:tab w:val="left" w:pos="480"/>
              </w:tabs>
              <w:spacing w:line="440" w:lineRule="exact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</w:pPr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二、上線後持續納入監控與追蹤；</w:t>
            </w:r>
          </w:p>
          <w:p w14:paraId="2CC61BE8" w14:textId="77777777" w:rsidR="007559D2" w:rsidRDefault="040E66B5" w:rsidP="4643B3DD">
            <w:pPr>
              <w:pStyle w:val="a6"/>
              <w:tabs>
                <w:tab w:val="left" w:pos="480"/>
              </w:tabs>
              <w:spacing w:line="440" w:lineRule="exact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</w:pPr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三、資料使用須經來源確認與適</w:t>
            </w:r>
            <w:proofErr w:type="gramStart"/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法性控管</w:t>
            </w:r>
            <w:proofErr w:type="gramEnd"/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；</w:t>
            </w:r>
          </w:p>
          <w:p w14:paraId="1B409074" w14:textId="77777777" w:rsidR="007559D2" w:rsidRDefault="040E66B5" w:rsidP="00381365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  <w:t>四、透過幻覺檢核與護欄機制確保服務內容穩健可信。</w:t>
            </w:r>
            <w:r w:rsidRPr="4643B3DD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14:paraId="206155FD" w14:textId="20BE8BC6" w:rsidR="008047FB" w:rsidRPr="008047FB" w:rsidRDefault="00457E7F" w:rsidP="00457E7F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457E7F">
              <w:rPr>
                <w:rFonts w:ascii="標楷體" w:eastAsia="標楷體" w:hAnsi="標楷體" w:hint="eastAsia"/>
                <w:sz w:val="28"/>
                <w:szCs w:val="28"/>
              </w:rPr>
              <w:t>這使</w:t>
            </w:r>
            <w:r w:rsidR="002E5B80" w:rsidRPr="00834434"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>【富邦 AI PRO】</w:t>
            </w:r>
            <w:r w:rsidRPr="00457E7F">
              <w:rPr>
                <w:rFonts w:ascii="標楷體" w:eastAsia="標楷體" w:hAnsi="標楷體" w:hint="eastAsia"/>
                <w:sz w:val="28"/>
                <w:szCs w:val="28"/>
              </w:rPr>
              <w:t>在追求創新體驗的同時，亦能兼顧金融服務所要求的法</w:t>
            </w:r>
            <w:proofErr w:type="gramStart"/>
            <w:r w:rsidRPr="00457E7F">
              <w:rPr>
                <w:rFonts w:ascii="標楷體" w:eastAsia="標楷體" w:hAnsi="標楷體" w:hint="eastAsia"/>
                <w:sz w:val="28"/>
                <w:szCs w:val="28"/>
              </w:rPr>
              <w:t>遵</w:t>
            </w:r>
            <w:proofErr w:type="gramEnd"/>
            <w:r w:rsidRPr="00457E7F">
              <w:rPr>
                <w:rFonts w:ascii="標楷體" w:eastAsia="標楷體" w:hAnsi="標楷體" w:hint="eastAsia"/>
                <w:sz w:val="28"/>
                <w:szCs w:val="28"/>
              </w:rPr>
              <w:t>性、適當性與可信度。</w:t>
            </w:r>
            <w:bookmarkEnd w:id="0"/>
          </w:p>
        </w:tc>
      </w:tr>
      <w:tr w:rsidR="00EE4FB4" w:rsidRPr="0023658C" w14:paraId="6D1909F2" w14:textId="77777777" w:rsidTr="06F0289C">
        <w:trPr>
          <w:cantSplit/>
          <w:trHeight w:val="776"/>
        </w:trPr>
        <w:tc>
          <w:tcPr>
            <w:tcW w:w="1887" w:type="dxa"/>
            <w:vMerge w:val="restar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4A89A3D" w14:textId="77777777" w:rsidR="00EE4FB4" w:rsidRPr="00253EE2" w:rsidRDefault="00EE4FB4" w:rsidP="00EE4FB4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lastRenderedPageBreak/>
              <w:t>綜合摘要</w:t>
            </w:r>
          </w:p>
        </w:tc>
        <w:tc>
          <w:tcPr>
            <w:tcW w:w="7185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4331EB34" w14:textId="77777777" w:rsidR="00EE4FB4" w:rsidRPr="008047FB" w:rsidRDefault="00EE4FB4" w:rsidP="008047FB">
            <w:pPr>
              <w:pStyle w:val="a6"/>
              <w:tabs>
                <w:tab w:val="left" w:pos="480"/>
              </w:tabs>
              <w:spacing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047FB">
              <w:rPr>
                <w:rFonts w:ascii="標楷體" w:eastAsia="標楷體" w:hAnsi="標楷體" w:hint="eastAsia"/>
                <w:sz w:val="28"/>
                <w:szCs w:val="28"/>
              </w:rPr>
              <w:t>評選重點：摘要綜合性特點、具體說明其績效及市場未來發展性。</w:t>
            </w:r>
          </w:p>
        </w:tc>
      </w:tr>
      <w:tr w:rsidR="00EE4FB4" w:rsidRPr="0023658C" w14:paraId="6B764706" w14:textId="77777777" w:rsidTr="06F0289C">
        <w:trPr>
          <w:cantSplit/>
          <w:trHeight w:val="1015"/>
        </w:trPr>
        <w:tc>
          <w:tcPr>
            <w:tcW w:w="1887" w:type="dxa"/>
            <w:vMerge/>
            <w:vAlign w:val="center"/>
          </w:tcPr>
          <w:p w14:paraId="749F83DE" w14:textId="77777777" w:rsidR="00EE4FB4" w:rsidRPr="00253EE2" w:rsidRDefault="00EE4FB4" w:rsidP="00EE4FB4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71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3B05FA3" w14:textId="3CFC9742" w:rsidR="007A38B7" w:rsidRPr="007A38B7" w:rsidRDefault="573D94CE" w:rsidP="008047FB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4643B3DD">
              <w:rPr>
                <w:rFonts w:ascii="標楷體" w:eastAsia="標楷體" w:hAnsi="標楷體"/>
                <w:b/>
                <w:bCs/>
                <w:sz w:val="28"/>
                <w:szCs w:val="28"/>
              </w:rPr>
              <w:t>以AI重塑投資服務價值，樹立券商決策平台新典範</w:t>
            </w:r>
          </w:p>
          <w:p w14:paraId="1259BDE0" w14:textId="064C7C30" w:rsidR="008047FB" w:rsidRPr="008047FB" w:rsidRDefault="002E5B80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智慧投資平台，精</w:t>
            </w:r>
            <w:proofErr w:type="gramStart"/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準</w:t>
            </w:r>
            <w:proofErr w:type="gramEnd"/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回應資訊極大化時代下投資服務的核心需求</w:t>
            </w:r>
            <w:proofErr w:type="gramStart"/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──</w:t>
            </w:r>
            <w:proofErr w:type="gramEnd"/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投資人所需要的，已不只是更多資訊，而是一套能協助理解資訊、整理脈絡、探索機會、驗證策略並陪伴持續成長的決策支持系統。透過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「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AI 分析師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」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、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「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AI 投資助理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」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、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「</w:t>
            </w:r>
            <w:proofErr w:type="gramStart"/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法說會摘要</w:t>
            </w:r>
            <w:proofErr w:type="gramEnd"/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」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、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「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技術分析工具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」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、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「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投資行事曆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」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、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「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模擬交易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」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、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「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個人化專區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」</w:t>
            </w:r>
            <w:r w:rsidR="56E7BF66" w:rsidRPr="16F39820">
              <w:rPr>
                <w:rFonts w:ascii="標楷體" w:eastAsia="標楷體" w:hAnsi="標楷體" w:cs="Arial"/>
                <w:sz w:val="28"/>
                <w:szCs w:val="28"/>
              </w:rPr>
              <w:t>與國外期貨整合，富邦證券成功打造一套橫跨資訊理解、分析推演、事件掌握與個人化服務的完整智慧投資平台。</w:t>
            </w:r>
          </w:p>
          <w:p w14:paraId="1A168C21" w14:textId="50578AB0" w:rsidR="008047FB" w:rsidRPr="008047FB" w:rsidRDefault="56E7BF66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本案的關鍵突破，在於以 AI 為核心重構券商 App 的價值定位，將平台由「交易工具」實質升級為「決策平台」。AI PRO 讓投資人於交易前、中、後，都能獲得具脈絡、貼近個人情境的決策支持，實現從「看得懂、問得到、找得到」，進一步邁向「做得到、練得會」的完整投資體驗。</w:t>
            </w:r>
          </w:p>
          <w:p w14:paraId="49DD46E2" w14:textId="2732CB7D" w:rsidR="008047FB" w:rsidRPr="008047FB" w:rsidRDefault="56E7BF66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此一價值轉換已明確反映於實際營運數據上。</w:t>
            </w:r>
            <w:r w:rsidRPr="16F39820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自 2025 年 11 月上線以來，</w:t>
            </w:r>
            <w:r w:rsidR="002E5B80"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>【富邦 AI PRO】</w:t>
            </w:r>
            <w:r w:rsidRPr="16F39820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已累積 28 萬以上下載人數、22.9 萬登入用戶，並帶動 7 萬筆以上實際交易人數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，且每週下載、登入與交易量持續成長，顯示平台能力的升級，已成功轉化為投資人真實的使用行為與決策動線改變。</w:t>
            </w:r>
          </w:p>
          <w:p w14:paraId="639D3378" w14:textId="628364C9" w:rsidR="008047FB" w:rsidRPr="008047FB" w:rsidRDefault="56E7BF66" w:rsidP="4643B3DD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93D56DA">
              <w:rPr>
                <w:rFonts w:ascii="標楷體" w:eastAsia="標楷體" w:hAnsi="標楷體" w:cs="Arial"/>
                <w:sz w:val="28"/>
                <w:szCs w:val="28"/>
              </w:rPr>
              <w:t>從落地、技術、營運與治理面向觀察，</w:t>
            </w:r>
            <w:r w:rsidR="002E5B80"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093D56DA">
              <w:rPr>
                <w:rFonts w:ascii="標楷體" w:eastAsia="標楷體" w:hAnsi="標楷體" w:cs="Arial"/>
                <w:sz w:val="28"/>
                <w:szCs w:val="28"/>
              </w:rPr>
              <w:t>已深</w:t>
            </w:r>
            <w:r w:rsidRPr="093D56DA">
              <w:rPr>
                <w:rFonts w:ascii="標楷體" w:eastAsia="標楷體" w:hAnsi="標楷體" w:cs="Arial"/>
                <w:sz w:val="28"/>
                <w:szCs w:val="28"/>
              </w:rPr>
              <w:lastRenderedPageBreak/>
              <w:t>度嵌入券商核心前台場景，具備成熟可行且可擴展的 AI 架構，在有效提升投資理解效率的同時，亦成功擴大「非交易時刻」的使用價值，提升平台登入頻率、停留時間與跨功能使用率，並兼顧金融服務對穩定性、可信度與合</w:t>
            </w:r>
            <w:proofErr w:type="gramStart"/>
            <w:r w:rsidRPr="093D56DA">
              <w:rPr>
                <w:rFonts w:ascii="標楷體" w:eastAsia="標楷體" w:hAnsi="標楷體" w:cs="Arial"/>
                <w:sz w:val="28"/>
                <w:szCs w:val="28"/>
              </w:rPr>
              <w:t>規</w:t>
            </w:r>
            <w:proofErr w:type="gramEnd"/>
            <w:r w:rsidRPr="093D56DA">
              <w:rPr>
                <w:rFonts w:ascii="標楷體" w:eastAsia="標楷體" w:hAnsi="標楷體" w:cs="Arial"/>
                <w:sz w:val="28"/>
                <w:szCs w:val="28"/>
              </w:rPr>
              <w:t>治理的高度要求。</w:t>
            </w:r>
          </w:p>
          <w:p w14:paraId="70E30093" w14:textId="1729A5EB" w:rsidR="002E5B80" w:rsidRPr="008047FB" w:rsidRDefault="002E5B80" w:rsidP="002E5B80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93D56DA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除了量化指標外，市場表現與用戶回饋亦形成正向佐證。</w:t>
            </w:r>
            <w:r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>【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>富邦</w:t>
            </w:r>
            <w:r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 xml:space="preserve"> AI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>PRO】</w:t>
            </w:r>
            <w:r w:rsidRPr="093D56DA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 xml:space="preserve">於 App Store 維持 4.7 </w:t>
            </w:r>
            <w:proofErr w:type="gramStart"/>
            <w:r w:rsidRPr="093D56DA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星高評價</w:t>
            </w:r>
            <w:proofErr w:type="gramEnd"/>
            <w:r w:rsidRPr="093D56DA">
              <w:rPr>
                <w:rFonts w:ascii="標楷體" w:eastAsia="標楷體" w:hAnsi="標楷體" w:cs="Arial"/>
                <w:b/>
                <w:bCs/>
                <w:sz w:val="28"/>
                <w:szCs w:val="28"/>
                <w:u w:val="single"/>
              </w:rPr>
              <w:t>，Google Play 下載次數已突破 10 萬，顯示整體市場接受度良好。</w:t>
            </w:r>
            <w:r w:rsidRPr="093D56DA">
              <w:rPr>
                <w:rFonts w:ascii="標楷體" w:eastAsia="標楷體" w:hAnsi="標楷體" w:cs="Arial"/>
                <w:sz w:val="28"/>
                <w:szCs w:val="28"/>
              </w:rPr>
              <w:t>用戶普遍肯定其 AI 分析深度、資訊整合能力與操作效率，有效提升投資決策品質與整體使用體驗，進一步強化品牌信任與平台吸引力。</w:t>
            </w:r>
          </w:p>
          <w:p w14:paraId="2692DEB3" w14:textId="2FA4ACB4" w:rsidR="008047FB" w:rsidRPr="008047FB" w:rsidRDefault="56E7BF66" w:rsidP="008047FB">
            <w:pPr>
              <w:pStyle w:val="a6"/>
              <w:tabs>
                <w:tab w:val="left" w:pos="480"/>
              </w:tabs>
              <w:spacing w:afterLines="50" w:after="180" w:line="4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整體而言，</w:t>
            </w:r>
            <w:r w:rsidR="002E5B80" w:rsidRPr="002E5B80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【富邦 AI PRO】</w:t>
            </w:r>
            <w:r w:rsidRPr="16F39820">
              <w:rPr>
                <w:rFonts w:ascii="標楷體" w:eastAsia="標楷體" w:hAnsi="標楷體" w:cs="Arial"/>
                <w:sz w:val="28"/>
                <w:szCs w:val="28"/>
              </w:rPr>
              <w:t>不僅展現富邦證券在 AI 與數位金融整合上的前瞻實踐，更以實際數據證明其已成功推動券商 App 從交易導向邁向決策導向，為台灣證券業樹立具備高度創新性、落地成效與長期發展潛力的智慧投資平台新標竿。</w:t>
            </w:r>
          </w:p>
        </w:tc>
      </w:tr>
      <w:tr w:rsidR="00EE4FB4" w:rsidRPr="0023658C" w14:paraId="578AC1C4" w14:textId="77777777" w:rsidTr="06F0289C">
        <w:trPr>
          <w:cantSplit/>
          <w:trHeight w:val="11175"/>
        </w:trPr>
        <w:tc>
          <w:tcPr>
            <w:tcW w:w="1887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38FB4C1" w14:textId="77777777" w:rsidR="00EE4FB4" w:rsidRPr="00253EE2" w:rsidRDefault="00EE4FB4" w:rsidP="00EE4FB4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其他</w:t>
            </w:r>
            <w:r w:rsidRPr="00253EE2">
              <w:rPr>
                <w:rFonts w:ascii="標楷體" w:eastAsia="標楷體" w:hAnsi="標楷體" w:hint="eastAsia"/>
                <w:sz w:val="28"/>
                <w:szCs w:val="28"/>
              </w:rPr>
              <w:t>說明</w:t>
            </w:r>
          </w:p>
        </w:tc>
        <w:tc>
          <w:tcPr>
            <w:tcW w:w="7185" w:type="dxa"/>
            <w:tcBorders>
              <w:bottom w:val="single" w:sz="18" w:space="0" w:color="auto"/>
            </w:tcBorders>
          </w:tcPr>
          <w:p w14:paraId="2B162875" w14:textId="77777777" w:rsidR="00EE4FB4" w:rsidRPr="008836DF" w:rsidRDefault="00EE4FB4" w:rsidP="00EE4FB4">
            <w:pPr>
              <w:adjustRightInd w:val="0"/>
              <w:spacing w:beforeLines="50" w:before="180"/>
              <w:ind w:left="480" w:hangingChars="200" w:hanging="480"/>
              <w:jc w:val="both"/>
              <w:rPr>
                <w:rFonts w:ascii="標楷體" w:eastAsia="標楷體"/>
                <w:szCs w:val="24"/>
              </w:rPr>
            </w:pPr>
            <w:r w:rsidRPr="008836DF">
              <w:rPr>
                <w:rFonts w:ascii="標楷體" w:eastAsia="標楷體" w:hint="eastAsia"/>
                <w:szCs w:val="24"/>
              </w:rPr>
              <w:t>一、本案件是否為前屆參選案件之延伸業務</w:t>
            </w:r>
            <w:r w:rsidRPr="00D803DC">
              <w:rPr>
                <w:rFonts w:ascii="標楷體" w:eastAsia="標楷體" w:hint="eastAsia"/>
                <w:szCs w:val="24"/>
              </w:rPr>
              <w:t>？</w:t>
            </w:r>
          </w:p>
          <w:p w14:paraId="0C1AC9E7" w14:textId="77777777" w:rsidR="00EE4FB4" w:rsidRPr="008836DF" w:rsidRDefault="00EE4FB4" w:rsidP="00EE4FB4">
            <w:pPr>
              <w:adjustRightInd w:val="0"/>
              <w:ind w:left="480" w:hangingChars="200" w:hanging="480"/>
              <w:jc w:val="both"/>
              <w:rPr>
                <w:rFonts w:ascii="標楷體" w:eastAsia="標楷體"/>
                <w:szCs w:val="24"/>
              </w:rPr>
            </w:pPr>
            <w:r>
              <w:rPr>
                <w:rFonts w:ascii="標楷體" w:eastAsia="標楷體" w:hint="eastAsia"/>
                <w:szCs w:val="24"/>
              </w:rPr>
              <w:t xml:space="preserve">    </w:t>
            </w:r>
            <w:r w:rsidRPr="008836DF">
              <w:rPr>
                <w:rFonts w:ascii="標楷體" w:eastAsia="標楷體" w:hint="eastAsia"/>
                <w:szCs w:val="24"/>
              </w:rPr>
              <w:t>□是；前屆案件名稱：</w:t>
            </w:r>
            <w:r w:rsidRPr="008836DF">
              <w:rPr>
                <w:rFonts w:ascii="標楷體" w:eastAsia="標楷體" w:hint="eastAsia"/>
                <w:szCs w:val="24"/>
                <w:u w:val="single"/>
              </w:rPr>
              <w:t xml:space="preserve">                                         </w:t>
            </w:r>
            <w:r w:rsidRPr="008836DF">
              <w:rPr>
                <w:rFonts w:ascii="標楷體" w:eastAsia="標楷體" w:hint="eastAsia"/>
                <w:szCs w:val="24"/>
              </w:rPr>
              <w:t xml:space="preserve"> </w:t>
            </w:r>
          </w:p>
          <w:p w14:paraId="7AC05BA3" w14:textId="0AA7FF00" w:rsidR="00EE4FB4" w:rsidRPr="008836DF" w:rsidRDefault="00EE4FB4" w:rsidP="00EE4FB4">
            <w:pPr>
              <w:adjustRightInd w:val="0"/>
              <w:spacing w:afterLines="50" w:after="180"/>
              <w:ind w:left="480" w:hangingChars="200" w:hanging="480"/>
              <w:jc w:val="both"/>
              <w:rPr>
                <w:rFonts w:ascii="標楷體" w:eastAsia="標楷體"/>
                <w:szCs w:val="24"/>
              </w:rPr>
            </w:pPr>
            <w:r>
              <w:rPr>
                <w:rFonts w:ascii="標楷體" w:eastAsia="標楷體" w:hint="eastAsia"/>
                <w:szCs w:val="24"/>
              </w:rPr>
              <w:t xml:space="preserve">    ■</w:t>
            </w:r>
            <w:r w:rsidRPr="008836DF">
              <w:rPr>
                <w:rFonts w:ascii="標楷體" w:eastAsia="標楷體" w:hint="eastAsia"/>
                <w:szCs w:val="24"/>
              </w:rPr>
              <w:t>否</w:t>
            </w:r>
          </w:p>
          <w:p w14:paraId="40886950" w14:textId="77777777" w:rsidR="00EE4FB4" w:rsidRDefault="00EE4FB4" w:rsidP="00EE4FB4">
            <w:pPr>
              <w:adjustRightInd w:val="0"/>
              <w:ind w:left="480" w:hangingChars="200" w:hanging="480"/>
              <w:jc w:val="both"/>
              <w:rPr>
                <w:rFonts w:ascii="標楷體" w:eastAsia="標楷體"/>
                <w:szCs w:val="24"/>
              </w:rPr>
            </w:pPr>
            <w:r w:rsidRPr="008836DF">
              <w:rPr>
                <w:rFonts w:ascii="標楷體" w:eastAsia="標楷體" w:hint="eastAsia"/>
                <w:szCs w:val="24"/>
              </w:rPr>
              <w:t>二、</w:t>
            </w:r>
            <w:r w:rsidRPr="007E4DEF">
              <w:rPr>
                <w:rFonts w:ascii="標楷體" w:eastAsia="標楷體" w:hint="eastAsia"/>
                <w:szCs w:val="24"/>
              </w:rPr>
              <w:t>若為前屆參賽案件之延伸、優化、展延，請說明新增內容或其差異性。(需具體闡述新增與異同之處，並以數據輔以文字表述，其內容至少800字以上，列為評分參考依據。)</w:t>
            </w:r>
          </w:p>
          <w:p w14:paraId="4C3CE785" w14:textId="77777777" w:rsidR="00EE4FB4" w:rsidRPr="00D77512" w:rsidRDefault="00EE4FB4" w:rsidP="00EE4FB4">
            <w:pPr>
              <w:pStyle w:val="a6"/>
              <w:tabs>
                <w:tab w:val="left" w:pos="480"/>
              </w:tabs>
              <w:spacing w:line="400" w:lineRule="exact"/>
              <w:jc w:val="both"/>
              <w:rPr>
                <w:rFonts w:ascii="標楷體" w:eastAsia="標楷體"/>
                <w:sz w:val="28"/>
                <w:szCs w:val="28"/>
              </w:rPr>
            </w:pPr>
          </w:p>
        </w:tc>
      </w:tr>
    </w:tbl>
    <w:p w14:paraId="01385DFD" w14:textId="77777777" w:rsidR="00E36A26" w:rsidRDefault="00E36A26" w:rsidP="00500859">
      <w:pPr>
        <w:spacing w:line="440" w:lineRule="exact"/>
        <w:rPr>
          <w:rFonts w:ascii="標楷體" w:eastAsia="標楷體"/>
          <w:b/>
          <w:sz w:val="52"/>
          <w:szCs w:val="44"/>
        </w:rPr>
      </w:pPr>
    </w:p>
    <w:sectPr w:rsidR="00E36A26" w:rsidSect="0022725C">
      <w:headerReference w:type="default" r:id="rId15"/>
      <w:footerReference w:type="default" r:id="rId16"/>
      <w:pgSz w:w="11906" w:h="16838" w:code="9"/>
      <w:pgMar w:top="1440" w:right="1800" w:bottom="1440" w:left="1800" w:header="567" w:footer="10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24829" w14:textId="77777777" w:rsidR="00D43072" w:rsidRDefault="00D43072" w:rsidP="00A2230C">
      <w:r>
        <w:separator/>
      </w:r>
    </w:p>
  </w:endnote>
  <w:endnote w:type="continuationSeparator" w:id="0">
    <w:p w14:paraId="0F54CEF6" w14:textId="77777777" w:rsidR="00D43072" w:rsidRDefault="00D43072" w:rsidP="00A22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5961131"/>
      <w:docPartObj>
        <w:docPartGallery w:val="Page Numbers (Bottom of Page)"/>
        <w:docPartUnique/>
      </w:docPartObj>
    </w:sdtPr>
    <w:sdtContent>
      <w:p w14:paraId="1A1BCEDC" w14:textId="77777777" w:rsidR="001D0373" w:rsidRDefault="001D037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7AB5" w:rsidRPr="00947AB5">
          <w:rPr>
            <w:noProof/>
            <w:lang w:val="zh-TW"/>
          </w:rPr>
          <w:t>4</w:t>
        </w:r>
        <w:r>
          <w:fldChar w:fldCharType="end"/>
        </w:r>
      </w:p>
    </w:sdtContent>
  </w:sdt>
  <w:p w14:paraId="37DB95B4" w14:textId="77777777" w:rsidR="001D0373" w:rsidRDefault="001D037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46D48" w14:textId="77777777" w:rsidR="00D43072" w:rsidRDefault="00D43072" w:rsidP="00A2230C">
      <w:r>
        <w:separator/>
      </w:r>
    </w:p>
  </w:footnote>
  <w:footnote w:type="continuationSeparator" w:id="0">
    <w:p w14:paraId="65F53AD8" w14:textId="77777777" w:rsidR="00D43072" w:rsidRDefault="00D43072" w:rsidP="00A22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8FA63" w14:textId="77777777" w:rsidR="00A2230C" w:rsidRDefault="00A2230C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769598A" wp14:editId="7F9CF9F7">
          <wp:simplePos x="0" y="0"/>
          <wp:positionH relativeFrom="column">
            <wp:posOffset>2038912</wp:posOffset>
          </wp:positionH>
          <wp:positionV relativeFrom="paragraph">
            <wp:posOffset>-137408</wp:posOffset>
          </wp:positionV>
          <wp:extent cx="1187263" cy="371475"/>
          <wp:effectExtent l="0" t="0" r="0" b="0"/>
          <wp:wrapSquare wrapText="bothSides"/>
          <wp:docPr id="13" name="圖片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7263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Ayw+xywCnWz/o" int2:id="4Vg5eviy">
      <int2:state int2:value="Rejected" int2:type="spell"/>
    </int2:textHash>
    <int2:textHash int2:hashCode="1zhd7sp+3SnAMX" int2:id="7DgwZtM1">
      <int2:state int2:value="Rejected" int2:type="spell"/>
    </int2:textHash>
    <int2:textHash int2:hashCode="xHNZxEMMRn++wZ" int2:id="KX5fLlCa">
      <int2:state int2:value="Rejected" int2:type="spell"/>
    </int2:textHash>
    <int2:textHash int2:hashCode="GYyrmmLIWPUmZv" int2:id="h3SIm0GT">
      <int2:state int2:value="Rejected" int2:type="spell"/>
    </int2:textHash>
    <int2:textHash int2:hashCode="4rFgkfIoQP/nMp" int2:id="yMbymj1S">
      <int2:state int2:value="Rejected" int2:type="spell"/>
    </int2:textHash>
    <int2:textHash int2:hashCode="fGJgF1VDbkOrEd" int2:id="zOJ2xZ9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94C"/>
    <w:multiLevelType w:val="hybridMultilevel"/>
    <w:tmpl w:val="DCBA4A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C5412F1"/>
    <w:multiLevelType w:val="hybridMultilevel"/>
    <w:tmpl w:val="DA5CB6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F591ADB"/>
    <w:multiLevelType w:val="hybridMultilevel"/>
    <w:tmpl w:val="D15410A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03563D7"/>
    <w:multiLevelType w:val="hybridMultilevel"/>
    <w:tmpl w:val="DA7EB636"/>
    <w:lvl w:ilvl="0" w:tplc="2CAE8E22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43A2A8B"/>
    <w:multiLevelType w:val="hybridMultilevel"/>
    <w:tmpl w:val="9B4058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91B3801"/>
    <w:multiLevelType w:val="hybridMultilevel"/>
    <w:tmpl w:val="9D2633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1A37F31"/>
    <w:multiLevelType w:val="hybridMultilevel"/>
    <w:tmpl w:val="C2782D18"/>
    <w:lvl w:ilvl="0" w:tplc="2CAE8E22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4205A86"/>
    <w:multiLevelType w:val="hybridMultilevel"/>
    <w:tmpl w:val="1DF6B5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C275288"/>
    <w:multiLevelType w:val="hybridMultilevel"/>
    <w:tmpl w:val="D8AA80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05D027F"/>
    <w:multiLevelType w:val="hybridMultilevel"/>
    <w:tmpl w:val="74F4497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62C5259"/>
    <w:multiLevelType w:val="hybridMultilevel"/>
    <w:tmpl w:val="F1DC3402"/>
    <w:lvl w:ilvl="0" w:tplc="D5B2BFCA">
      <w:start w:val="1"/>
      <w:numFmt w:val="bullet"/>
      <w:lvlText w:val="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90593825">
    <w:abstractNumId w:val="2"/>
  </w:num>
  <w:num w:numId="2" w16cid:durableId="1068000376">
    <w:abstractNumId w:val="6"/>
  </w:num>
  <w:num w:numId="3" w16cid:durableId="1128356053">
    <w:abstractNumId w:val="4"/>
  </w:num>
  <w:num w:numId="4" w16cid:durableId="1907954031">
    <w:abstractNumId w:val="10"/>
  </w:num>
  <w:num w:numId="5" w16cid:durableId="1663007393">
    <w:abstractNumId w:val="7"/>
  </w:num>
  <w:num w:numId="6" w16cid:durableId="1130127653">
    <w:abstractNumId w:val="3"/>
  </w:num>
  <w:num w:numId="7" w16cid:durableId="1274165357">
    <w:abstractNumId w:val="9"/>
  </w:num>
  <w:num w:numId="8" w16cid:durableId="62723893">
    <w:abstractNumId w:val="0"/>
  </w:num>
  <w:num w:numId="9" w16cid:durableId="613483979">
    <w:abstractNumId w:val="8"/>
  </w:num>
  <w:num w:numId="10" w16cid:durableId="1099184483">
    <w:abstractNumId w:val="5"/>
  </w:num>
  <w:num w:numId="11" w16cid:durableId="129310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0" w:nlCheck="1" w:checkStyle="0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164"/>
    <w:rsid w:val="00003734"/>
    <w:rsid w:val="0000636D"/>
    <w:rsid w:val="0001340B"/>
    <w:rsid w:val="0001482A"/>
    <w:rsid w:val="000203DF"/>
    <w:rsid w:val="000235A1"/>
    <w:rsid w:val="0003114B"/>
    <w:rsid w:val="000337B6"/>
    <w:rsid w:val="00034C6B"/>
    <w:rsid w:val="00041ABA"/>
    <w:rsid w:val="00056A93"/>
    <w:rsid w:val="00062E1A"/>
    <w:rsid w:val="00065508"/>
    <w:rsid w:val="00067A99"/>
    <w:rsid w:val="000812D3"/>
    <w:rsid w:val="00082635"/>
    <w:rsid w:val="00097645"/>
    <w:rsid w:val="000A2369"/>
    <w:rsid w:val="000A24F7"/>
    <w:rsid w:val="000B52D6"/>
    <w:rsid w:val="000C09FB"/>
    <w:rsid w:val="000C68EA"/>
    <w:rsid w:val="000E0CE4"/>
    <w:rsid w:val="000E6D6D"/>
    <w:rsid w:val="000F2808"/>
    <w:rsid w:val="0010472B"/>
    <w:rsid w:val="001061A5"/>
    <w:rsid w:val="00113EBB"/>
    <w:rsid w:val="00114B25"/>
    <w:rsid w:val="00137A07"/>
    <w:rsid w:val="00145022"/>
    <w:rsid w:val="001479A3"/>
    <w:rsid w:val="00156DCE"/>
    <w:rsid w:val="0016600A"/>
    <w:rsid w:val="00171DCC"/>
    <w:rsid w:val="001736C1"/>
    <w:rsid w:val="0018333E"/>
    <w:rsid w:val="0018389E"/>
    <w:rsid w:val="00187218"/>
    <w:rsid w:val="00191ED1"/>
    <w:rsid w:val="001A0430"/>
    <w:rsid w:val="001A6D50"/>
    <w:rsid w:val="001A7312"/>
    <w:rsid w:val="001B1509"/>
    <w:rsid w:val="001B48BF"/>
    <w:rsid w:val="001C1536"/>
    <w:rsid w:val="001C7B18"/>
    <w:rsid w:val="001D0373"/>
    <w:rsid w:val="001D4DE5"/>
    <w:rsid w:val="001D6766"/>
    <w:rsid w:val="001F0671"/>
    <w:rsid w:val="001F1F98"/>
    <w:rsid w:val="001F685E"/>
    <w:rsid w:val="00215550"/>
    <w:rsid w:val="00215DF0"/>
    <w:rsid w:val="0022725C"/>
    <w:rsid w:val="002305E3"/>
    <w:rsid w:val="0023658C"/>
    <w:rsid w:val="00237506"/>
    <w:rsid w:val="00241B32"/>
    <w:rsid w:val="00245A3D"/>
    <w:rsid w:val="002529D9"/>
    <w:rsid w:val="00253EE2"/>
    <w:rsid w:val="002559A9"/>
    <w:rsid w:val="00255F59"/>
    <w:rsid w:val="00265CAE"/>
    <w:rsid w:val="0026696A"/>
    <w:rsid w:val="002670AD"/>
    <w:rsid w:val="002674DB"/>
    <w:rsid w:val="002743F2"/>
    <w:rsid w:val="00280630"/>
    <w:rsid w:val="00280DBE"/>
    <w:rsid w:val="002B3C62"/>
    <w:rsid w:val="002C161E"/>
    <w:rsid w:val="002C6565"/>
    <w:rsid w:val="002C76B6"/>
    <w:rsid w:val="002D6CB7"/>
    <w:rsid w:val="002E3DDC"/>
    <w:rsid w:val="002E5B80"/>
    <w:rsid w:val="002E6B4A"/>
    <w:rsid w:val="0030576C"/>
    <w:rsid w:val="00306619"/>
    <w:rsid w:val="003222B4"/>
    <w:rsid w:val="0032573C"/>
    <w:rsid w:val="00327B3F"/>
    <w:rsid w:val="00340838"/>
    <w:rsid w:val="0034605B"/>
    <w:rsid w:val="003513C7"/>
    <w:rsid w:val="003559AE"/>
    <w:rsid w:val="003616EF"/>
    <w:rsid w:val="00362F03"/>
    <w:rsid w:val="00364101"/>
    <w:rsid w:val="00370F26"/>
    <w:rsid w:val="00381365"/>
    <w:rsid w:val="00382C1E"/>
    <w:rsid w:val="003A139E"/>
    <w:rsid w:val="003B1E6A"/>
    <w:rsid w:val="003B3E76"/>
    <w:rsid w:val="003D1466"/>
    <w:rsid w:val="003F0C5E"/>
    <w:rsid w:val="003F41EE"/>
    <w:rsid w:val="00400417"/>
    <w:rsid w:val="00411675"/>
    <w:rsid w:val="00412D2B"/>
    <w:rsid w:val="0042238A"/>
    <w:rsid w:val="00424DA0"/>
    <w:rsid w:val="004263D9"/>
    <w:rsid w:val="004361CA"/>
    <w:rsid w:val="00450CB0"/>
    <w:rsid w:val="00451A67"/>
    <w:rsid w:val="00456BDF"/>
    <w:rsid w:val="00457E7F"/>
    <w:rsid w:val="00461644"/>
    <w:rsid w:val="004826E3"/>
    <w:rsid w:val="00495861"/>
    <w:rsid w:val="004A020E"/>
    <w:rsid w:val="004A5D07"/>
    <w:rsid w:val="004B538E"/>
    <w:rsid w:val="004B77BB"/>
    <w:rsid w:val="004C678A"/>
    <w:rsid w:val="004D3B83"/>
    <w:rsid w:val="004E0F14"/>
    <w:rsid w:val="004E26F9"/>
    <w:rsid w:val="004E3035"/>
    <w:rsid w:val="004E77BA"/>
    <w:rsid w:val="004E7AF4"/>
    <w:rsid w:val="00500859"/>
    <w:rsid w:val="005035F6"/>
    <w:rsid w:val="00505C31"/>
    <w:rsid w:val="00507140"/>
    <w:rsid w:val="00511B34"/>
    <w:rsid w:val="00521A62"/>
    <w:rsid w:val="00532AC0"/>
    <w:rsid w:val="00536D00"/>
    <w:rsid w:val="00540786"/>
    <w:rsid w:val="00544C96"/>
    <w:rsid w:val="005507E7"/>
    <w:rsid w:val="005527A1"/>
    <w:rsid w:val="005538C4"/>
    <w:rsid w:val="00567D9B"/>
    <w:rsid w:val="005749E7"/>
    <w:rsid w:val="00583C37"/>
    <w:rsid w:val="00587377"/>
    <w:rsid w:val="00587780"/>
    <w:rsid w:val="00591099"/>
    <w:rsid w:val="005914F1"/>
    <w:rsid w:val="00591F45"/>
    <w:rsid w:val="00592E40"/>
    <w:rsid w:val="00597049"/>
    <w:rsid w:val="005B1D53"/>
    <w:rsid w:val="005B494D"/>
    <w:rsid w:val="005B651E"/>
    <w:rsid w:val="005B7011"/>
    <w:rsid w:val="005B79C2"/>
    <w:rsid w:val="005C61A7"/>
    <w:rsid w:val="005C7BD0"/>
    <w:rsid w:val="00604A8C"/>
    <w:rsid w:val="0062022F"/>
    <w:rsid w:val="00621B42"/>
    <w:rsid w:val="00626583"/>
    <w:rsid w:val="0063619A"/>
    <w:rsid w:val="0063673D"/>
    <w:rsid w:val="00645CD9"/>
    <w:rsid w:val="00650C6D"/>
    <w:rsid w:val="00651DF3"/>
    <w:rsid w:val="00652ECE"/>
    <w:rsid w:val="00653C8F"/>
    <w:rsid w:val="00671C16"/>
    <w:rsid w:val="00684B84"/>
    <w:rsid w:val="00684EFA"/>
    <w:rsid w:val="006862D6"/>
    <w:rsid w:val="006956F5"/>
    <w:rsid w:val="00695F2F"/>
    <w:rsid w:val="006B39CE"/>
    <w:rsid w:val="006B4EB4"/>
    <w:rsid w:val="006C2AC2"/>
    <w:rsid w:val="006D0691"/>
    <w:rsid w:val="006D479B"/>
    <w:rsid w:val="006E1070"/>
    <w:rsid w:val="006E32C0"/>
    <w:rsid w:val="006E7728"/>
    <w:rsid w:val="006F2764"/>
    <w:rsid w:val="006F2F9C"/>
    <w:rsid w:val="006F6B78"/>
    <w:rsid w:val="007212B4"/>
    <w:rsid w:val="0072228C"/>
    <w:rsid w:val="00722D93"/>
    <w:rsid w:val="00724278"/>
    <w:rsid w:val="007251E6"/>
    <w:rsid w:val="0073281A"/>
    <w:rsid w:val="00737292"/>
    <w:rsid w:val="00737EF0"/>
    <w:rsid w:val="007559D2"/>
    <w:rsid w:val="007661CF"/>
    <w:rsid w:val="007736CC"/>
    <w:rsid w:val="00793890"/>
    <w:rsid w:val="00794528"/>
    <w:rsid w:val="007A0328"/>
    <w:rsid w:val="007A2645"/>
    <w:rsid w:val="007A38B7"/>
    <w:rsid w:val="007B3483"/>
    <w:rsid w:val="007C1F8C"/>
    <w:rsid w:val="007C4DB0"/>
    <w:rsid w:val="007C515E"/>
    <w:rsid w:val="007D0C11"/>
    <w:rsid w:val="007D4C79"/>
    <w:rsid w:val="007D5164"/>
    <w:rsid w:val="007E4DEF"/>
    <w:rsid w:val="007E7833"/>
    <w:rsid w:val="007F216E"/>
    <w:rsid w:val="007F3043"/>
    <w:rsid w:val="00800863"/>
    <w:rsid w:val="00803B79"/>
    <w:rsid w:val="008047FB"/>
    <w:rsid w:val="00806683"/>
    <w:rsid w:val="0081030F"/>
    <w:rsid w:val="00812328"/>
    <w:rsid w:val="00816727"/>
    <w:rsid w:val="00817039"/>
    <w:rsid w:val="0082715B"/>
    <w:rsid w:val="00833EFF"/>
    <w:rsid w:val="00834434"/>
    <w:rsid w:val="00841F46"/>
    <w:rsid w:val="00842EF3"/>
    <w:rsid w:val="00844F30"/>
    <w:rsid w:val="00847992"/>
    <w:rsid w:val="008505FB"/>
    <w:rsid w:val="00853988"/>
    <w:rsid w:val="00857789"/>
    <w:rsid w:val="00864908"/>
    <w:rsid w:val="00870785"/>
    <w:rsid w:val="00876653"/>
    <w:rsid w:val="00877C5C"/>
    <w:rsid w:val="0088024E"/>
    <w:rsid w:val="00881ECD"/>
    <w:rsid w:val="008836DF"/>
    <w:rsid w:val="008863EF"/>
    <w:rsid w:val="008918D9"/>
    <w:rsid w:val="008B2D72"/>
    <w:rsid w:val="008B7B90"/>
    <w:rsid w:val="008C4B33"/>
    <w:rsid w:val="008D344C"/>
    <w:rsid w:val="008E088D"/>
    <w:rsid w:val="008F1470"/>
    <w:rsid w:val="008F4CAC"/>
    <w:rsid w:val="008F774C"/>
    <w:rsid w:val="0090194C"/>
    <w:rsid w:val="00915ACC"/>
    <w:rsid w:val="00927ED3"/>
    <w:rsid w:val="009305EE"/>
    <w:rsid w:val="009321D3"/>
    <w:rsid w:val="00933CB7"/>
    <w:rsid w:val="00947AB5"/>
    <w:rsid w:val="0096004A"/>
    <w:rsid w:val="00967CEB"/>
    <w:rsid w:val="00985322"/>
    <w:rsid w:val="00985AD0"/>
    <w:rsid w:val="00987207"/>
    <w:rsid w:val="009A0D93"/>
    <w:rsid w:val="009A4393"/>
    <w:rsid w:val="009B502C"/>
    <w:rsid w:val="009C2FB0"/>
    <w:rsid w:val="009C553A"/>
    <w:rsid w:val="009C64E9"/>
    <w:rsid w:val="009F0D94"/>
    <w:rsid w:val="009F1D23"/>
    <w:rsid w:val="00A2230C"/>
    <w:rsid w:val="00A23EE0"/>
    <w:rsid w:val="00A2543E"/>
    <w:rsid w:val="00A26630"/>
    <w:rsid w:val="00A32E3D"/>
    <w:rsid w:val="00A552DE"/>
    <w:rsid w:val="00A6070A"/>
    <w:rsid w:val="00A75899"/>
    <w:rsid w:val="00A871E2"/>
    <w:rsid w:val="00A93111"/>
    <w:rsid w:val="00A96924"/>
    <w:rsid w:val="00AB022B"/>
    <w:rsid w:val="00AC52F1"/>
    <w:rsid w:val="00AC55E0"/>
    <w:rsid w:val="00AC61AD"/>
    <w:rsid w:val="00AD5259"/>
    <w:rsid w:val="00AE26E2"/>
    <w:rsid w:val="00AE2BFD"/>
    <w:rsid w:val="00AE549A"/>
    <w:rsid w:val="00AE70D2"/>
    <w:rsid w:val="00B03046"/>
    <w:rsid w:val="00B05480"/>
    <w:rsid w:val="00B11EDC"/>
    <w:rsid w:val="00B1246C"/>
    <w:rsid w:val="00B208A8"/>
    <w:rsid w:val="00B276A6"/>
    <w:rsid w:val="00B515BE"/>
    <w:rsid w:val="00B53953"/>
    <w:rsid w:val="00B5797A"/>
    <w:rsid w:val="00B6400C"/>
    <w:rsid w:val="00B76F15"/>
    <w:rsid w:val="00B77503"/>
    <w:rsid w:val="00B85882"/>
    <w:rsid w:val="00B861B6"/>
    <w:rsid w:val="00B94223"/>
    <w:rsid w:val="00B975B0"/>
    <w:rsid w:val="00BA3487"/>
    <w:rsid w:val="00BA6FA2"/>
    <w:rsid w:val="00BB3DD4"/>
    <w:rsid w:val="00BB79F0"/>
    <w:rsid w:val="00BC079C"/>
    <w:rsid w:val="00BC6442"/>
    <w:rsid w:val="00BD2DE3"/>
    <w:rsid w:val="00BD65B3"/>
    <w:rsid w:val="00BE082B"/>
    <w:rsid w:val="00BE4575"/>
    <w:rsid w:val="00BF2BAD"/>
    <w:rsid w:val="00BF3939"/>
    <w:rsid w:val="00C1130A"/>
    <w:rsid w:val="00C144B1"/>
    <w:rsid w:val="00C15210"/>
    <w:rsid w:val="00C212AE"/>
    <w:rsid w:val="00C233CB"/>
    <w:rsid w:val="00C2340B"/>
    <w:rsid w:val="00C25F68"/>
    <w:rsid w:val="00C357A2"/>
    <w:rsid w:val="00C70D98"/>
    <w:rsid w:val="00C75568"/>
    <w:rsid w:val="00C75A8B"/>
    <w:rsid w:val="00C84789"/>
    <w:rsid w:val="00CA09D1"/>
    <w:rsid w:val="00CB1809"/>
    <w:rsid w:val="00CC19A0"/>
    <w:rsid w:val="00CC340B"/>
    <w:rsid w:val="00CD0CD6"/>
    <w:rsid w:val="00CE39EB"/>
    <w:rsid w:val="00CE5E64"/>
    <w:rsid w:val="00CF4D9A"/>
    <w:rsid w:val="00D20619"/>
    <w:rsid w:val="00D21483"/>
    <w:rsid w:val="00D22EB0"/>
    <w:rsid w:val="00D23C97"/>
    <w:rsid w:val="00D252EA"/>
    <w:rsid w:val="00D309FE"/>
    <w:rsid w:val="00D34A7C"/>
    <w:rsid w:val="00D43072"/>
    <w:rsid w:val="00D44669"/>
    <w:rsid w:val="00D45BD4"/>
    <w:rsid w:val="00D45D79"/>
    <w:rsid w:val="00D670A2"/>
    <w:rsid w:val="00D701B3"/>
    <w:rsid w:val="00D77512"/>
    <w:rsid w:val="00D803DC"/>
    <w:rsid w:val="00D86562"/>
    <w:rsid w:val="00D86F05"/>
    <w:rsid w:val="00D90C63"/>
    <w:rsid w:val="00D95871"/>
    <w:rsid w:val="00DA0068"/>
    <w:rsid w:val="00DA47CC"/>
    <w:rsid w:val="00DA754D"/>
    <w:rsid w:val="00DB4DFE"/>
    <w:rsid w:val="00DC0B67"/>
    <w:rsid w:val="00DD6AE7"/>
    <w:rsid w:val="00DD6DC1"/>
    <w:rsid w:val="00DE041D"/>
    <w:rsid w:val="00DE083F"/>
    <w:rsid w:val="00DE0959"/>
    <w:rsid w:val="00DE249B"/>
    <w:rsid w:val="00DF2351"/>
    <w:rsid w:val="00E00E4B"/>
    <w:rsid w:val="00E02143"/>
    <w:rsid w:val="00E0256C"/>
    <w:rsid w:val="00E101F9"/>
    <w:rsid w:val="00E125E0"/>
    <w:rsid w:val="00E15503"/>
    <w:rsid w:val="00E219AE"/>
    <w:rsid w:val="00E22151"/>
    <w:rsid w:val="00E24249"/>
    <w:rsid w:val="00E309DB"/>
    <w:rsid w:val="00E31F14"/>
    <w:rsid w:val="00E35743"/>
    <w:rsid w:val="00E36A26"/>
    <w:rsid w:val="00E536A3"/>
    <w:rsid w:val="00E5671F"/>
    <w:rsid w:val="00E66605"/>
    <w:rsid w:val="00E745DF"/>
    <w:rsid w:val="00E813A3"/>
    <w:rsid w:val="00E81997"/>
    <w:rsid w:val="00E82298"/>
    <w:rsid w:val="00E94E76"/>
    <w:rsid w:val="00EA6572"/>
    <w:rsid w:val="00ED7142"/>
    <w:rsid w:val="00EE4FB4"/>
    <w:rsid w:val="00EE5C78"/>
    <w:rsid w:val="00F0212A"/>
    <w:rsid w:val="00F11778"/>
    <w:rsid w:val="00F204BD"/>
    <w:rsid w:val="00F35986"/>
    <w:rsid w:val="00F35BA9"/>
    <w:rsid w:val="00F40154"/>
    <w:rsid w:val="00F507DC"/>
    <w:rsid w:val="00F50B01"/>
    <w:rsid w:val="00F514AE"/>
    <w:rsid w:val="00F63357"/>
    <w:rsid w:val="00F67ECE"/>
    <w:rsid w:val="00F77AE3"/>
    <w:rsid w:val="00F82915"/>
    <w:rsid w:val="00FB341F"/>
    <w:rsid w:val="00FC0077"/>
    <w:rsid w:val="00FC325B"/>
    <w:rsid w:val="00FE485B"/>
    <w:rsid w:val="00FF3A95"/>
    <w:rsid w:val="00FF5555"/>
    <w:rsid w:val="040E66B5"/>
    <w:rsid w:val="0633A215"/>
    <w:rsid w:val="06F0289C"/>
    <w:rsid w:val="093D56DA"/>
    <w:rsid w:val="0968D4A7"/>
    <w:rsid w:val="0A54E5F7"/>
    <w:rsid w:val="0D0B1026"/>
    <w:rsid w:val="0F33188F"/>
    <w:rsid w:val="102766A0"/>
    <w:rsid w:val="1051AD70"/>
    <w:rsid w:val="126FECF6"/>
    <w:rsid w:val="1542EF05"/>
    <w:rsid w:val="16F39820"/>
    <w:rsid w:val="1978B678"/>
    <w:rsid w:val="1DE3F736"/>
    <w:rsid w:val="1F1B082F"/>
    <w:rsid w:val="2043928A"/>
    <w:rsid w:val="21FCF850"/>
    <w:rsid w:val="25F63A20"/>
    <w:rsid w:val="26C6DB3E"/>
    <w:rsid w:val="2864B50B"/>
    <w:rsid w:val="2960532A"/>
    <w:rsid w:val="29BB535E"/>
    <w:rsid w:val="2D09C46E"/>
    <w:rsid w:val="2F642940"/>
    <w:rsid w:val="305A9268"/>
    <w:rsid w:val="321F3E64"/>
    <w:rsid w:val="337AA09F"/>
    <w:rsid w:val="37AA74A6"/>
    <w:rsid w:val="384C4224"/>
    <w:rsid w:val="38A59FC1"/>
    <w:rsid w:val="3F9A190B"/>
    <w:rsid w:val="427F90B5"/>
    <w:rsid w:val="42C37669"/>
    <w:rsid w:val="43C8F929"/>
    <w:rsid w:val="442D88A8"/>
    <w:rsid w:val="4643B3DD"/>
    <w:rsid w:val="49AEF239"/>
    <w:rsid w:val="4A359748"/>
    <w:rsid w:val="4A390C9A"/>
    <w:rsid w:val="4FF697F1"/>
    <w:rsid w:val="522E2AE0"/>
    <w:rsid w:val="558D7C5A"/>
    <w:rsid w:val="56E7BF66"/>
    <w:rsid w:val="573D94CE"/>
    <w:rsid w:val="59C38251"/>
    <w:rsid w:val="5A105BAA"/>
    <w:rsid w:val="5C56C5EE"/>
    <w:rsid w:val="62D60811"/>
    <w:rsid w:val="6309FD13"/>
    <w:rsid w:val="63F0D85F"/>
    <w:rsid w:val="6558FA18"/>
    <w:rsid w:val="6623A7CA"/>
    <w:rsid w:val="6713F642"/>
    <w:rsid w:val="67246ED8"/>
    <w:rsid w:val="6B81DDC9"/>
    <w:rsid w:val="6D7A85CF"/>
    <w:rsid w:val="6EA9FC82"/>
    <w:rsid w:val="717370FB"/>
    <w:rsid w:val="7189DDA8"/>
    <w:rsid w:val="71D4F22B"/>
    <w:rsid w:val="73C216F3"/>
    <w:rsid w:val="747D08EA"/>
    <w:rsid w:val="75B4A2C6"/>
    <w:rsid w:val="76964493"/>
    <w:rsid w:val="7716A7B8"/>
    <w:rsid w:val="7725E148"/>
    <w:rsid w:val="7822AD91"/>
    <w:rsid w:val="78A7EA06"/>
    <w:rsid w:val="7B56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AF524"/>
  <w15:chartTrackingRefBased/>
  <w15:docId w15:val="{D1B76475-A386-4812-9231-880F63A5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164"/>
    <w:pPr>
      <w:widowControl w:val="0"/>
    </w:pPr>
  </w:style>
  <w:style w:type="paragraph" w:styleId="3">
    <w:name w:val="heading 3"/>
    <w:basedOn w:val="a"/>
    <w:link w:val="30"/>
    <w:uiPriority w:val="9"/>
    <w:qFormat/>
    <w:rsid w:val="00F0212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5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223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2230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223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2230C"/>
    <w:rPr>
      <w:sz w:val="20"/>
      <w:szCs w:val="20"/>
    </w:rPr>
  </w:style>
  <w:style w:type="paragraph" w:styleId="a8">
    <w:name w:val="List Paragraph"/>
    <w:basedOn w:val="a"/>
    <w:uiPriority w:val="34"/>
    <w:qFormat/>
    <w:rsid w:val="00BD65B3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803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803DC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2B3C62"/>
    <w:rPr>
      <w:color w:val="0563C1" w:themeColor="hyperlink"/>
      <w:u w:val="single"/>
    </w:rPr>
  </w:style>
  <w:style w:type="character" w:customStyle="1" w:styleId="30">
    <w:name w:val="標題 3 字元"/>
    <w:basedOn w:val="a0"/>
    <w:link w:val="3"/>
    <w:uiPriority w:val="9"/>
    <w:rsid w:val="00F0212A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s1">
    <w:name w:val="s1"/>
    <w:basedOn w:val="a0"/>
    <w:rsid w:val="00F02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bs.com.tw/Home/Index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bs.com.tw/Home/Index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郭啟祥</cp:lastModifiedBy>
  <cp:revision>86</cp:revision>
  <cp:lastPrinted>2025-12-12T08:42:00Z</cp:lastPrinted>
  <dcterms:created xsi:type="dcterms:W3CDTF">2026-04-15T07:21:00Z</dcterms:created>
  <dcterms:modified xsi:type="dcterms:W3CDTF">2026-04-22T08:47:00Z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cbd3ca4-59a6-410d-ba5b-98e306109a39_Enabled">
    <vt:lpwstr>true</vt:lpwstr>
  </property>
  <property fmtid="{D5CDD505-2E9C-101B-9397-08002B2CF9AE}" pid="3" name="MSIP_Label_1cbd3ca4-59a6-410d-ba5b-98e306109a39_SetDate">
    <vt:lpwstr>2026-04-09T06:03:59Z</vt:lpwstr>
  </property>
  <property fmtid="{D5CDD505-2E9C-101B-9397-08002B2CF9AE}" pid="4" name="MSIP_Label_1cbd3ca4-59a6-410d-ba5b-98e306109a39_Method">
    <vt:lpwstr>Standard</vt:lpwstr>
  </property>
  <property fmtid="{D5CDD505-2E9C-101B-9397-08002B2CF9AE}" pid="5" name="MSIP_Label_1cbd3ca4-59a6-410d-ba5b-98e306109a39_Name">
    <vt:lpwstr>一般使用</vt:lpwstr>
  </property>
  <property fmtid="{D5CDD505-2E9C-101B-9397-08002B2CF9AE}" pid="6" name="MSIP_Label_1cbd3ca4-59a6-410d-ba5b-98e306109a39_SiteId">
    <vt:lpwstr>911b2369-1105-4da8-ac47-cd9e1a690d42</vt:lpwstr>
  </property>
  <property fmtid="{D5CDD505-2E9C-101B-9397-08002B2CF9AE}" pid="7" name="MSIP_Label_1cbd3ca4-59a6-410d-ba5b-98e306109a39_ActionId">
    <vt:lpwstr>42116621-1d93-4a3e-91bd-79b744ee57a3</vt:lpwstr>
  </property>
  <property fmtid="{D5CDD505-2E9C-101B-9397-08002B2CF9AE}" pid="8" name="MSIP_Label_1cbd3ca4-59a6-410d-ba5b-98e306109a39_ContentBits">
    <vt:lpwstr>0</vt:lpwstr>
  </property>
  <property fmtid="{D5CDD505-2E9C-101B-9397-08002B2CF9AE}" pid="9" name="MSIP_Label_1cbd3ca4-59a6-410d-ba5b-98e306109a39_Tag">
    <vt:lpwstr>10, 3, 0, 1</vt:lpwstr>
  </property>
</Properties>
</file>