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0"/>
      </w:pPr>
      <w:r>
        <w:rPr>
          <w:b/>
          <w:bCs/>
          <w:color w:val="001A70"/>
          <w:sz w:val="72"/>
          <w:szCs w:val="72"/>
        </w:rPr>
        <w:t xml:space="preserve">uSwap</w:t>
      </w:r>
    </w:p>
    <w:p>
      <w:pPr>
        <w:spacing w:after="40"/>
      </w:pPr>
      <w:r>
        <w:rPr>
          <w:color w:val="2D6CDF"/>
          <w:sz w:val="28"/>
          <w:szCs w:val="28"/>
        </w:rPr>
        <w:t xml:space="preserve">Gestion des stations, des équipes et des services</w:t>
      </w:r>
    </w:p>
    <w:p>
      <w:pPr>
        <w:pBdr>
          <w:bottom w:val="single" w:color="2D6CDF" w:sz="12"/>
        </w:pBdr>
        <w:spacing w:after="600"/>
      </w:pPr>
      <w:r>
        <w:t xml:space="preserve"/>
      </w:r>
    </w:p>
    <w:p>
      <w:r>
        <w:rPr>
          <w:b/>
          <w:bCs/>
          <w:sz w:val="32"/>
          <w:szCs w:val="32"/>
        </w:rPr>
        <w:t xml:space="preserve">Documentation technique et fonctionnelle</w:t>
      </w:r>
    </w:p>
    <w:p>
      <w:pPr>
        <w:spacing w:after="900"/>
      </w:pPr>
      <w:r>
        <w:rPr>
          <w:color w:val="5A6478"/>
          <w:sz w:val="22"/>
          <w:szCs w:val="22"/>
        </w:rPr>
        <w:t xml:space="preserve">Installation · Configuration · Déploiement Docker · Exploitation</w:t>
      </w:r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3397"/>
        <w:gridCol w:w="6309"/>
      </w:tblGrid>
      <w:tr>
        <w:trPr>
          <w:tblHeader/>
        </w:trPr>
        <w:tc>
          <w:tcPr>
            <w:tcW w:type="pct" w:w="175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pct" w:w="325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uSwap / UpOwa</w:t>
            </w:r>
          </w:p>
        </w:tc>
      </w:tr>
      <w:tr>
        <w:tc>
          <w:tcPr>
            <w:tcW w:type="pct" w:w="17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Branche de livraison</w:t>
            </w:r>
          </w:p>
        </w:tc>
        <w:tc>
          <w:tcPr>
            <w:tcW w:type="pct" w:w="32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develop</w:t>
            </w:r>
          </w:p>
        </w:tc>
      </w:tr>
      <w:tr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Backend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NestJS 11 · Prisma 6 · PostgreSQL 16</w:t>
            </w:r>
          </w:p>
        </w:tc>
      </w:tr>
      <w:tr>
        <w:tc>
          <w:tcPr>
            <w:tcW w:type="pct" w:w="17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Frontend</w:t>
            </w:r>
          </w:p>
        </w:tc>
        <w:tc>
          <w:tcPr>
            <w:tcW w:type="pct" w:w="32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React 19 · Vite 6 · Nginx 1.27</w:t>
            </w:r>
          </w:p>
        </w:tc>
      </w:tr>
      <w:tr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Conteneurisation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Docker Compose (3 services + 1 outil)</w:t>
            </w:r>
          </w:p>
        </w:tc>
      </w:tr>
      <w:tr>
        <w:tc>
          <w:tcPr>
            <w:tcW w:type="pct" w:w="17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Public visé</w:t>
            </w:r>
          </w:p>
        </w:tc>
        <w:tc>
          <w:tcPr>
            <w:tcW w:type="pct" w:w="32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Administrateurs, superviseurs, développeurs, exploitation</w:t>
            </w:r>
          </w:p>
        </w:tc>
      </w:tr>
    </w:tbl>
    <w:p>
      <w:pPr>
        <w:spacing w:before="600"/>
      </w:pPr>
      <w:r>
        <w:rPr>
          <w:i/>
          <w:iCs/>
          <w:color w:val="5A6478"/>
          <w:sz w:val="18"/>
          <w:szCs w:val="18"/>
        </w:rPr>
        <w:t xml:space="preserve">Ce document ne contient aucun mot de passe, clé ou secret. Les valeurs sensibles sont fournies séparément, dans les fichiers d’environnement non versionnés.</w:t>
      </w:r>
    </w:p>
    <w:p>
      <w:pPr>
        <w:pStyle w:val="Heading1"/>
        <w:pageBreakBefore/>
        <w:spacing w:after="160" w:before="200"/>
      </w:pPr>
      <w:bookmarkStart w:name="_Toc1" w:id="1"/>
      <w:r>
        <w:rPr>
          <w:b/>
          <w:bCs/>
          <w:color w:val="001A70"/>
          <w:sz w:val="32"/>
          <w:szCs w:val="32"/>
        </w:rPr>
        <w:t xml:space="preserve">Sommaire</w:t>
      </w:r>
      <w:bookmarkEnd w:id="1"/>
    </w:p>
    <w:sdt>
      <w:sdtPr>
        <w:alias w:val="Sommaire"/>
      </w:sdtPr>
      <w:sdtContent>
        <w:p>
          <w:pPr>
            <w:pStyle w:val="TOC1"/>
            <w:tabs>
              <w:tab w:val="right" w:pos="970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Sommaire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2">
            <w:r>
              <w:t xml:space="preserve">1. Présentation de l’application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3">
            <w:r>
              <w:t xml:space="preserve">1.1 Rôles et périmètres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4">
            <w:r>
              <w:t xml:space="preserve">1.2 Modules fonctionnels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5">
            <w:r>
              <w:t xml:space="preserve">2. Architecture technique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6">
            <w:r>
              <w:t xml:space="preserve">2.1 Vue d’ensemble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7">
            <w:r>
              <w:t xml:space="preserve">2.2 Arborescence du dépôt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8">
            <w:r>
              <w:t xml:space="preserve">2.3 Technologies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9">
            <w:r>
              <w:t xml:space="preserve">3. Prérequis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10">
            <w:r>
              <w:t xml:space="preserve">4. Installation locale (développement)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11">
            <w:r>
              <w:t xml:space="preserve">4.1 Base de données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12">
            <w:r>
              <w:t xml:space="preserve">4.2 Backend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13">
            <w:r>
              <w:t xml:space="preserve">4.3 Frontend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14">
            <w:r>
              <w:t xml:space="preserve">5. Comptes et e-mails transactionnels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15">
            <w:r>
              <w:t xml:space="preserve">5.1 E-mail d’activation de compte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16">
            <w:r>
              <w:t xml:space="preserve">5.2 E-mail de réinitialisation de mot de passe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17">
            <w:r>
              <w:t xml:space="preserve">5.3 E-mail de rapport programmé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18">
            <w:r>
              <w:t xml:space="preserve">5.4 Points de vigilance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19">
            <w:r>
              <w:t xml:space="preserve">6. Connexion et gestion de session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20">
            <w:r>
              <w:t xml:space="preserve">6.1 Mécanisme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21">
            <w:r>
              <w:t xml:space="preserve">6.2 Si la connexion échoue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22">
            <w:r>
              <w:t xml:space="preserve">7. Stations, adresses et carte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23">
            <w:r>
              <w:t xml:space="preserve">8. Pointage (prise et fin de service)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24">
            <w:r>
              <w:t xml:space="preserve">9. Rapports et exports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25">
            <w:r>
              <w:t xml:space="preserve">9.1 Contenu du classeur XLSX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26">
            <w:r>
              <w:t xml:space="preserve">9.2 Envoi programmé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27">
            <w:r>
              <w:t xml:space="preserve">10. Gestion des heures et des fuseaux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28">
            <w:r>
              <w:t xml:space="preserve">11. Déploiement avec Docker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29">
            <w:r>
              <w:t xml:space="preserve">11.1 Services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30">
            <w:r>
              <w:t xml:space="preserve">11.2 Fichiers de déploiement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31">
            <w:r>
              <w:t xml:space="preserve">11.3 Procédure de déploiement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32">
            <w:r>
              <w:t xml:space="preserve">11.3.1 Ce que crée l’initialisation (service bootstrap)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33">
            <w:r>
              <w:t xml:space="preserve">11.3.2 Repartir d’une base propre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34">
            <w:r>
              <w:t xml:space="preserve">11.4 Contraintes à respecter sur le serveur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35">
            <w:r>
              <w:t xml:space="preserve">11.5 Exploitation courante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36">
            <w:r>
              <w:t xml:space="preserve">12. Sécurité et bonnes pratiques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37">
            <w:r>
              <w:t xml:space="preserve">13. Vérifications avant mise en production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</w:pPr>
          <w:hyperlink w:history="1" w:anchor="_Toc38">
            <w:r>
              <w:t xml:space="preserve">13.1 Scripts de recette fournis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39">
            <w:r>
              <w:t xml:space="preserve">14. Dépannage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40">
            <w:r>
              <w:t xml:space="preserve">15. Glossaire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i/>
          <w:iCs/>
          <w:color w:val="5A6478"/>
          <w:sz w:val="18"/>
          <w:szCs w:val="18"/>
        </w:rPr>
        <w:t xml:space="preserve">Astuce Word : clic droit sur le sommaire puis « Mettre à jour les champs » pour actualiser les numéros de page.</w:t>
      </w:r>
    </w:p>
    <w:p>
      <w:pPr>
        <w:pStyle w:val="Heading1"/>
        <w:pageBreakBefore/>
        <w:spacing w:after="160" w:before="200"/>
      </w:pPr>
      <w:bookmarkStart w:name="_Toc2" w:id="2"/>
      <w:r>
        <w:rPr>
          <w:b/>
          <w:bCs/>
          <w:color w:val="001A70"/>
          <w:sz w:val="32"/>
          <w:szCs w:val="32"/>
        </w:rPr>
        <w:t xml:space="preserve">1. Présentation de l’application</w:t>
      </w:r>
      <w:bookmarkEnd w:id="2"/>
    </w:p>
    <w:p>
      <w:pPr>
        <w:spacing w:after="120" w:before="0"/>
      </w:pPr>
      <w:r>
        <w:rPr>
          <w:sz w:val="22"/>
          <w:szCs w:val="22"/>
        </w:rPr>
        <w:t xml:space="preserve">uSwap est une application web de pilotage des stations (échange de batteries) : planification des services, pointage géolocalisé des agents, suivi des présences, congés, incidents, notifications et rapports exportables.</w:t>
      </w:r>
    </w:p>
    <w:p>
      <w:pPr>
        <w:pStyle w:val="Heading2"/>
        <w:spacing w:after="120" w:before="220"/>
      </w:pPr>
      <w:bookmarkStart w:name="_Toc3" w:id="3"/>
      <w:r>
        <w:rPr>
          <w:b/>
          <w:bCs/>
          <w:color w:val="2D6CDF"/>
          <w:sz w:val="26"/>
          <w:szCs w:val="26"/>
        </w:rPr>
        <w:t xml:space="preserve">1.1 Rôles et périmètres</w:t>
      </w:r>
      <w:bookmarkEnd w:id="3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135"/>
        <w:gridCol w:w="2135"/>
        <w:gridCol w:w="5435"/>
      </w:tblGrid>
      <w:tr>
        <w:trPr>
          <w:tblHeader/>
        </w:trPr>
        <w:tc>
          <w:tcPr>
            <w:tcW w:type="pct" w:w="11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pct" w:w="11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Périmètre principal</w:t>
            </w:r>
          </w:p>
        </w:tc>
        <w:tc>
          <w:tcPr>
            <w:tcW w:type="pct" w:w="28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Actions clés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SWAPPER (agent)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Ses propres services</w:t>
            </w:r>
          </w:p>
        </w:tc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Prise et fin de service, signalement d’absence, demandes de congé, consultation du planning</w:t>
            </w:r>
          </w:p>
        </w:tc>
      </w:tr>
      <w:tr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SUPERVISOR</w:t>
            </w:r>
          </w:p>
        </w:tc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Ses stations</w:t>
            </w:r>
          </w:p>
        </w:tc>
        <w:tc>
          <w:tcPr>
            <w:tcW w:type="pct" w:w="28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Plannings, suivi des pointages, corrections, décisions de congé, incidents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ADMIN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Tout le réseau</w:t>
            </w:r>
          </w:p>
        </w:tc>
        <w:tc>
          <w:tcPr>
            <w:tcW w:type="pct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Utilisateurs, stations, plannings, rapports programmés, réglages globaux, incidents</w:t>
            </w:r>
          </w:p>
        </w:tc>
      </w:tr>
      <w:tr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SUPER_ADMIN</w:t>
            </w:r>
          </w:p>
        </w:tc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Toute la plateforme</w:t>
            </w:r>
          </w:p>
        </w:tc>
        <w:tc>
          <w:tcPr>
            <w:tcW w:type="pct" w:w="28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Hérite de l’administrateur + nettoyage des données de test</w:t>
            </w:r>
          </w:p>
        </w:tc>
      </w:tr>
    </w:tbl>
    <w:p>
      <w:pPr>
        <w:pStyle w:val="Heading2"/>
        <w:spacing w:after="120" w:before="220"/>
      </w:pPr>
      <w:bookmarkStart w:name="_Toc4" w:id="4"/>
      <w:r>
        <w:rPr>
          <w:b/>
          <w:bCs/>
          <w:color w:val="2D6CDF"/>
          <w:sz w:val="26"/>
          <w:szCs w:val="26"/>
        </w:rPr>
        <w:t xml:space="preserve">1.2 Modules fonctionnels</w:t>
      </w:r>
      <w:bookmarkEnd w:id="4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135"/>
        <w:gridCol w:w="7571"/>
      </w:tblGrid>
      <w:tr>
        <w:trPr>
          <w:tblHeader/>
        </w:trPr>
        <w:tc>
          <w:tcPr>
            <w:tcW w:type="pct" w:w="11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pct" w:w="39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Fonctions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Authentification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Connexion, session avec cookie HttpOnly, mot de passe oublié, activation de compte par lien</w:t>
            </w:r>
          </w:p>
        </w:tc>
      </w:tr>
      <w:tr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Stations</w:t>
            </w:r>
          </w:p>
        </w:tc>
        <w:tc>
          <w:tcPr>
            <w:tcW w:type="pct" w:w="3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Création/modification, adresse géocodée, emplacement GPS, périmètre de pointage, modèles de shift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Plannings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Création manuelle ou automatique, affectations, publication, contrôle des contraintes (repos, heures hebdomadaires)</w:t>
            </w:r>
          </w:p>
        </w:tc>
      </w:tr>
      <w:tr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Pointage</w:t>
            </w:r>
          </w:p>
        </w:tc>
        <w:tc>
          <w:tcPr>
            <w:tcW w:type="pct" w:w="3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Prise et fin de service avec contrôle GPS, historique, corrections motivées par un superviseur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Congés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Demandes, soldes, décisions, synchronisation RH externe (optionnelle)</w:t>
            </w:r>
          </w:p>
        </w:tc>
      </w:tr>
      <w:tr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Incidents</w:t>
            </w:r>
          </w:p>
        </w:tc>
        <w:tc>
          <w:tcPr>
            <w:tcW w:type="pct" w:w="3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Signalement avec pièces jointes, traitement et historique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Rapports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Tableau de bord, export XLSX/CSV, envoi programmé par e-mail avec pièce jointe</w:t>
            </w:r>
          </w:p>
        </w:tc>
      </w:tr>
      <w:tr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3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In-app, e-mail et notifications navigateur, préférences par catégorie</w:t>
            </w:r>
          </w:p>
        </w:tc>
      </w:tr>
    </w:tbl>
    <w:p>
      <w:pPr>
        <w:pStyle w:val="Heading1"/>
        <w:pageBreakBefore/>
        <w:spacing w:after="160" w:before="200"/>
      </w:pPr>
      <w:bookmarkStart w:name="_Toc5" w:id="5"/>
      <w:r>
        <w:rPr>
          <w:b/>
          <w:bCs/>
          <w:color w:val="001A70"/>
          <w:sz w:val="32"/>
          <w:szCs w:val="32"/>
        </w:rPr>
        <w:t xml:space="preserve">2. Architecture technique</w:t>
      </w:r>
      <w:bookmarkEnd w:id="5"/>
    </w:p>
    <w:p>
      <w:pPr>
        <w:pStyle w:val="Heading2"/>
        <w:spacing w:after="120" w:before="220"/>
      </w:pPr>
      <w:bookmarkStart w:name="_Toc6" w:id="6"/>
      <w:r>
        <w:rPr>
          <w:b/>
          <w:bCs/>
          <w:color w:val="2D6CDF"/>
          <w:sz w:val="26"/>
          <w:szCs w:val="26"/>
        </w:rPr>
        <w:t xml:space="preserve">2.1 Vue d’ensemble</w:t>
      </w:r>
      <w:bookmarkEnd w:id="6"/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Navigateur  →  Nginx (conteneur frontend, port 80)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                  ├── /            → plateau React (SPA, index.html)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                  └── /api/…       → backend NestJS (port 3000)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                                       └── PostgreSQL (port 5432, réseau interne)</w:t>
      </w:r>
    </w:p>
    <w:p>
      <w:pPr>
        <w:spacing w:after="120" w:before="0"/>
      </w:pPr>
      <w:r>
        <w:rPr>
          <w:sz w:val="22"/>
          <w:szCs w:val="22"/>
        </w:rPr>
        <w:t xml:space="preserve">En production, seul Nginx est exposé (via le reverse proxy HTTPS du serveur). PostgreSQL n’est jamais accessible depuis l’extérieur du réseau Docker.</w:t>
      </w:r>
    </w:p>
    <w:p>
      <w:pPr>
        <w:pStyle w:val="Heading2"/>
        <w:spacing w:after="120" w:before="220"/>
      </w:pPr>
      <w:bookmarkStart w:name="_Toc7" w:id="7"/>
      <w:r>
        <w:rPr>
          <w:b/>
          <w:bCs/>
          <w:color w:val="2D6CDF"/>
          <w:sz w:val="26"/>
          <w:szCs w:val="26"/>
        </w:rPr>
        <w:t xml:space="preserve">2.2 Arborescence du dépôt</w:t>
      </w:r>
      <w:bookmarkEnd w:id="7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912"/>
        <w:gridCol w:w="6794"/>
      </w:tblGrid>
      <w:tr>
        <w:trPr>
          <w:tblHeader/>
        </w:trPr>
        <w:tc>
          <w:tcPr>
            <w:tcW w:type="pct" w:w="15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Chemin</w:t>
            </w:r>
          </w:p>
        </w:tc>
        <w:tc>
          <w:tcPr>
            <w:tcW w:type="pct" w:w="35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backend_new/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API NestJS, schéma et migrations Prisma, Dockerfile</w:t>
            </w:r>
          </w:p>
        </w:tc>
      </w:tr>
      <w:tr>
        <w:tc>
          <w:tcPr>
            <w:tcW w:type="pct" w:w="1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frontend_new/frontend/</w:t>
            </w:r>
          </w:p>
        </w:tc>
        <w:tc>
          <w:tcPr>
            <w:tcW w:type="pct" w:w="3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Application React/Vite, Nginx de production, Dockerfile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deploy/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compose.yaml, .env.example, documentation Docker, script de pré-vérification</w:t>
            </w:r>
          </w:p>
        </w:tc>
      </w:tr>
      <w:tr>
        <w:tc>
          <w:tcPr>
            <w:tcW w:type="pct" w:w="1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scripts/</w:t>
            </w:r>
          </w:p>
        </w:tc>
        <w:tc>
          <w:tcPr>
            <w:tcW w:type="pct" w:w="3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Recettes et scripts d’exploitation (ligne de commande)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docs/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Documentation de référence (sprints, rapports, conformité)</w:t>
            </w:r>
          </w:p>
        </w:tc>
      </w:tr>
    </w:tbl>
    <w:p>
      <w:pPr>
        <w:pStyle w:val="Heading2"/>
        <w:spacing w:after="120" w:before="220"/>
      </w:pPr>
      <w:bookmarkStart w:name="_Toc8" w:id="8"/>
      <w:r>
        <w:rPr>
          <w:b/>
          <w:bCs/>
          <w:color w:val="2D6CDF"/>
          <w:sz w:val="26"/>
          <w:szCs w:val="26"/>
        </w:rPr>
        <w:t xml:space="preserve">2.3 Technologies</w:t>
      </w:r>
      <w:bookmarkEnd w:id="8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135"/>
        <w:gridCol w:w="4853"/>
        <w:gridCol w:w="2718"/>
      </w:tblGrid>
      <w:tr>
        <w:trPr>
          <w:tblHeader/>
        </w:trPr>
        <w:tc>
          <w:tcPr>
            <w:tcW w:type="pct" w:w="11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pct" w:w="25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pct" w:w="14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API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NestJS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ORM / base</w:t>
            </w:r>
          </w:p>
        </w:tc>
        <w:tc>
          <w:tcPr>
            <w:tcW w:type="pct" w:w="2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Prisma / PostgreSQL</w:t>
            </w:r>
          </w:p>
        </w:tc>
        <w:tc>
          <w:tcPr>
            <w:tcW w:type="pct" w:w="14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6 / 16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Frontend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React + TypeScript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Build frontend</w:t>
            </w:r>
          </w:p>
        </w:tc>
        <w:tc>
          <w:tcPr>
            <w:tcW w:type="pct" w:w="2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Vite</w:t>
            </w:r>
          </w:p>
        </w:tc>
        <w:tc>
          <w:tcPr>
            <w:tcW w:type="pct" w:w="14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Serveur web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Nginx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1.27</w:t>
            </w:r>
          </w:p>
        </w:tc>
      </w:tr>
      <w:tr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E-mails</w:t>
            </w:r>
          </w:p>
        </w:tc>
        <w:tc>
          <w:tcPr>
            <w:tcW w:type="pct" w:w="2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Nodemailer (SMTP)</w:t>
            </w:r>
          </w:p>
        </w:tc>
        <w:tc>
          <w:tcPr>
            <w:tcW w:type="pct" w:w="14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Exports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ExcelJS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4</w:t>
            </w:r>
          </w:p>
        </w:tc>
      </w:tr>
    </w:tbl>
    <w:p>
      <w:pPr>
        <w:pStyle w:val="Heading1"/>
        <w:pageBreakBefore/>
        <w:spacing w:after="160" w:before="200"/>
      </w:pPr>
      <w:bookmarkStart w:name="_Toc9" w:id="9"/>
      <w:r>
        <w:rPr>
          <w:b/>
          <w:bCs/>
          <w:color w:val="001A70"/>
          <w:sz w:val="32"/>
          <w:szCs w:val="32"/>
        </w:rPr>
        <w:t xml:space="preserve">3. Prérequis</w:t>
      </w:r>
      <w:bookmarkEnd w:id="9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427"/>
        <w:gridCol w:w="7280"/>
      </w:tblGrid>
      <w:tr>
        <w:trPr>
          <w:tblHeader/>
        </w:trPr>
        <w:tc>
          <w:tcPr>
            <w:tcW w:type="pct" w:w="125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Environnement</w:t>
            </w:r>
          </w:p>
        </w:tc>
        <w:tc>
          <w:tcPr>
            <w:tcW w:type="pct" w:w="375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Logiciels requis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Développement</w:t>
            </w:r>
          </w:p>
        </w:tc>
        <w:tc>
          <w:tcPr>
            <w:tcW w:type="pct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Node.js 22, npm 10, PostgreSQL 16 ; Docker optionnel</w:t>
            </w:r>
          </w:p>
        </w:tc>
      </w:tr>
      <w:tr>
        <w:tc>
          <w:tcPr>
            <w:tcW w:type="pct" w:w="12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Serveur (production)</w:t>
            </w:r>
          </w:p>
        </w:tc>
        <w:tc>
          <w:tcPr>
            <w:tcW w:type="pct" w:w="37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Ubuntu 22.04 ou 24.04, Docker Engine 24+, Docker Compose v2, accès HTTPS (reverse proxy d’hôte)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>Aucune autre dépendance système n’est nécessaire : les images fournies contiennent déjà Node, Nginx et PostgreSQL.</w:t>
      </w:r>
    </w:p>
    <w:p>
      <w:pPr>
        <w:pStyle w:val="Heading1"/>
        <w:pageBreakBefore/>
        <w:spacing w:after="160" w:before="200"/>
      </w:pPr>
      <w:bookmarkStart w:name="_Toc10" w:id="10"/>
      <w:r>
        <w:rPr>
          <w:b/>
          <w:bCs/>
          <w:color w:val="001A70"/>
          <w:sz w:val="32"/>
          <w:szCs w:val="32"/>
        </w:rPr>
        <w:t xml:space="preserve">4. Installation locale (développement)</w:t>
      </w:r>
      <w:bookmarkEnd w:id="10"/>
    </w:p>
    <w:p>
      <w:pPr>
        <w:pStyle w:val="Heading2"/>
        <w:spacing w:after="120" w:before="220"/>
      </w:pPr>
      <w:bookmarkStart w:name="_Toc11" w:id="11"/>
      <w:r>
        <w:rPr>
          <w:b/>
          <w:bCs/>
          <w:color w:val="2D6CDF"/>
          <w:sz w:val="26"/>
          <w:szCs w:val="26"/>
        </w:rPr>
        <w:t xml:space="preserve">4.1 Base de données</w:t>
      </w:r>
      <w:bookmarkEnd w:id="11"/>
    </w:p>
    <w:p>
      <w:pPr>
        <w:spacing w:after="120" w:before="0"/>
      </w:pPr>
      <w:r>
        <w:rPr>
          <w:sz w:val="22"/>
          <w:szCs w:val="22"/>
        </w:rPr>
        <w:t xml:space="preserve">Créer une base dédiée uSwap :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CREATE DATABASE uswap;</w:t>
      </w:r>
    </w:p>
    <w:p>
      <w:pPr>
        <w:spacing w:after="120" w:before="0"/>
      </w:pPr>
      <w:r>
        <w:rPr>
          <w:sz w:val="22"/>
          <w:szCs w:val="22"/>
        </w:rPr>
        <w:t xml:space="preserve">Créer ensuite le fichier de configuration à partir du modèle fourni :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cp backend_new/.env.example backend_new/.env</w:t>
      </w:r>
    </w:p>
    <w:p>
      <w:pPr>
        <w:spacing w:after="120" w:before="0"/>
      </w:pPr>
      <w:r>
        <w:rPr>
          <w:sz w:val="22"/>
          <w:szCs w:val="22"/>
        </w:rPr>
        <w:t xml:space="preserve">Renseigner DATABASE_URL, JWT_SECRET, JWT_REFRESH_SECRET, PUBLIC_APP_URL et, si les e-mails sont nécessaires, les paramètres SMTP. Le fichier .env n’est jamais versionné.</w:t>
      </w:r>
    </w:p>
    <w:p>
      <w:pPr>
        <w:pStyle w:val="Heading2"/>
        <w:spacing w:after="120" w:before="220"/>
      </w:pPr>
      <w:bookmarkStart w:name="_Toc12" w:id="12"/>
      <w:r>
        <w:rPr>
          <w:b/>
          <w:bCs/>
          <w:color w:val="2D6CDF"/>
          <w:sz w:val="26"/>
          <w:szCs w:val="26"/>
        </w:rPr>
        <w:t xml:space="preserve">4.2 Backend</w:t>
      </w:r>
      <w:bookmarkEnd w:id="12"/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cd backend_new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npm install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npx prisma generate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npx prisma db push          # crée le schéma sur une base vide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npm run seed                # jeu de démonstration (facultatif)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npm run start:dev           # API sur http://localhost:3000</w:t>
      </w:r>
    </w:p>
    <w:p>
      <w:pPr>
        <w:spacing w:after="120" w:before="0"/>
      </w:pPr>
      <w:r>
        <w:rPr>
          <w:sz w:val="22"/>
          <w:szCs w:val="22"/>
        </w:rPr>
        <w:t xml:space="preserve">Le seed exige la variable DEMO_PASSWORD (fichier .env). Il crée les stations, les comptes de démonstration et un service du jour pour chaque agent, afin de tester immédiatement le pointage.</w:t>
      </w:r>
    </w:p>
    <w:p>
      <w:pPr>
        <w:pStyle w:val="Heading2"/>
        <w:spacing w:after="120" w:before="220"/>
      </w:pPr>
      <w:bookmarkStart w:name="_Toc13" w:id="13"/>
      <w:r>
        <w:rPr>
          <w:b/>
          <w:bCs/>
          <w:color w:val="2D6CDF"/>
          <w:sz w:val="26"/>
          <w:szCs w:val="26"/>
        </w:rPr>
        <w:t xml:space="preserve">4.3 Frontend</w:t>
      </w:r>
      <w:bookmarkEnd w:id="13"/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cd frontend_new/frontend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npm install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npm run dev                 # http://localhost:5173</w:t>
      </w:r>
    </w:p>
    <w:p>
      <w:pPr>
        <w:spacing w:after="120" w:before="0"/>
      </w:pPr>
      <w:r>
        <w:rPr>
          <w:sz w:val="22"/>
          <w:szCs w:val="22"/>
        </w:rPr>
        <w:t xml:space="preserve">Le serveur de développement redirige /api vers l’API locale : les deux services doivent donc tourner en même temps.</w:t>
      </w:r>
    </w:p>
    <w:p>
      <w:pPr>
        <w:pStyle w:val="Heading1"/>
        <w:pageBreakBefore/>
        <w:spacing w:after="160" w:before="200"/>
      </w:pPr>
      <w:bookmarkStart w:name="_Toc14" w:id="14"/>
      <w:r>
        <w:rPr>
          <w:b/>
          <w:bCs/>
          <w:color w:val="001A70"/>
          <w:sz w:val="32"/>
          <w:szCs w:val="32"/>
        </w:rPr>
        <w:t xml:space="preserve">5. Comptes et e-mails transactionnels</w:t>
      </w:r>
      <w:bookmarkEnd w:id="14"/>
    </w:p>
    <w:p>
      <w:pPr>
        <w:pStyle w:val="Heading2"/>
        <w:spacing w:after="120" w:before="220"/>
      </w:pPr>
      <w:bookmarkStart w:name="_Toc15" w:id="15"/>
      <w:r>
        <w:rPr>
          <w:b/>
          <w:bCs/>
          <w:color w:val="2D6CDF"/>
          <w:sz w:val="26"/>
          <w:szCs w:val="26"/>
        </w:rPr>
        <w:t xml:space="preserve">5.1 E-mail d’activation de compte</w:t>
      </w:r>
      <w:bookmarkEnd w:id="15"/>
    </w:p>
    <w:p>
      <w:pPr>
        <w:spacing w:after="120" w:before="0"/>
      </w:pPr>
      <w:r>
        <w:rPr>
          <w:sz w:val="22"/>
          <w:szCs w:val="22"/>
        </w:rPr>
        <w:t xml:space="preserve">Objet : « Activez votre compte uSwap »</w:t>
      </w:r>
    </w:p>
    <w:p>
      <w:pPr>
        <w:spacing w:after="120" w:before="0"/>
      </w:pPr>
      <w:r>
        <w:rPr>
          <w:sz w:val="22"/>
          <w:szCs w:val="22"/>
        </w:rPr>
        <w:t xml:space="preserve">Contenu (version texte) :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Bonjour &lt;Nom&gt;,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Votre compte uSwap (&lt;rôle&gt;) a été créé.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Choisissez votre mot de passe pour activer votre accès :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&lt;PUBLIC_APP_URL&gt;/auth/activate?token=&lt;jeton&gt;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Ce lien expire le &lt;date et heure&gt;.</w:t>
      </w:r>
    </w:p>
    <w:p>
      <w:pPr>
        <w:spacing w:after="120" w:before="0"/>
      </w:pPr>
      <w:r>
        <w:rPr>
          <w:sz w:val="22"/>
          <w:szCs w:val="22"/>
        </w:rPr>
        <w:t xml:space="preserve">La version HTML reprend les mêmes informations avec un bouton « Activer mon compte » et le lien en clair. Le lien est personnel, à usage unique, et sa validité suit le réglage INVITATION_VALIDITY_HOURS (48 h par défaut).</w:t>
      </w:r>
    </w:p>
    <w:p>
      <w:pPr>
        <w:pStyle w:val="Heading2"/>
        <w:spacing w:after="120" w:before="220"/>
      </w:pPr>
      <w:bookmarkStart w:name="_Toc16" w:id="16"/>
      <w:r>
        <w:rPr>
          <w:b/>
          <w:bCs/>
          <w:color w:val="2D6CDF"/>
          <w:sz w:val="26"/>
          <w:szCs w:val="26"/>
        </w:rPr>
        <w:t xml:space="preserve">5.2 E-mail de réinitialisation de mot de passe</w:t>
      </w:r>
      <w:bookmarkEnd w:id="16"/>
    </w:p>
    <w:p>
      <w:pPr>
        <w:spacing w:after="120" w:before="0"/>
      </w:pPr>
      <w:r>
        <w:rPr>
          <w:sz w:val="22"/>
          <w:szCs w:val="22"/>
        </w:rPr>
        <w:t xml:space="preserve">Objet : « Réinitialisation de votre mot de passe uSwap »</w:t>
      </w:r>
    </w:p>
    <w:p>
      <w:pPr>
        <w:spacing w:after="120" w:before="0"/>
      </w:pPr>
      <w:r>
        <w:rPr>
          <w:sz w:val="22"/>
          <w:szCs w:val="22"/>
        </w:rPr>
        <w:t xml:space="preserve">Contenu (version texte) :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Bonjour &lt;Nom&gt;,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Une réinitialisation de mot de passe a été demandée.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&lt;PUBLIC_APP_URL&gt;/auth/reset-password?token=&lt;jeton&gt;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Ce lien expire le &lt;date et heure&gt;.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Si vous n’êtes pas à l’origine de cette demande, ignorez cet e-mail.</w:t>
      </w:r>
    </w:p>
    <w:p>
      <w:pPr>
        <w:spacing w:after="120" w:before="0"/>
      </w:pPr>
      <w:r>
        <w:rPr>
          <w:sz w:val="22"/>
          <w:szCs w:val="22"/>
        </w:rPr>
        <w:t xml:space="preserve">La page affiche immédiatement « lien expiré ou invalide » si le jeton est inutilisable, grâce à la route de vérification, puis permet de définir le nouveau mot de passe.</w:t>
      </w:r>
    </w:p>
    <w:p>
      <w:pPr>
        <w:pStyle w:val="Heading2"/>
        <w:spacing w:after="120" w:before="220"/>
      </w:pPr>
      <w:bookmarkStart w:name="_Toc17" w:id="17"/>
      <w:r>
        <w:rPr>
          <w:b/>
          <w:bCs/>
          <w:color w:val="2D6CDF"/>
          <w:sz w:val="26"/>
          <w:szCs w:val="26"/>
        </w:rPr>
        <w:t xml:space="preserve">5.3 E-mail de rapport programmé</w:t>
      </w:r>
      <w:bookmarkEnd w:id="17"/>
    </w:p>
    <w:p>
      <w:pPr>
        <w:spacing w:after="120" w:before="0"/>
      </w:pPr>
      <w:r>
        <w:rPr>
          <w:sz w:val="22"/>
          <w:szCs w:val="22"/>
        </w:rPr>
        <w:t xml:space="preserve">Objet : « Rapport uSwap · &lt;nom du rapport&gt; »</w:t>
      </w:r>
    </w:p>
    <w:p>
      <w:pPr>
        <w:spacing w:after="120" w:before="0"/>
      </w:pPr>
      <w:r>
        <w:rPr>
          <w:sz w:val="22"/>
          <w:szCs w:val="22"/>
        </w:rPr>
        <w:t xml:space="preserve">Le message contient la période, une synthèse chiffrée (services, couverture, présence, retards, absences, heures, congés, mouvements) et le fichier XLSX ou CSV en pièce jointe.</w:t>
      </w:r>
    </w:p>
    <w:p>
      <w:pPr>
        <w:pStyle w:val="Heading2"/>
        <w:spacing w:after="120" w:before="220"/>
      </w:pPr>
      <w:bookmarkStart w:name="_Toc18" w:id="18"/>
      <w:r>
        <w:rPr>
          <w:b/>
          <w:bCs/>
          <w:color w:val="2D6CDF"/>
          <w:sz w:val="26"/>
          <w:szCs w:val="26"/>
        </w:rPr>
        <w:t xml:space="preserve">5.4 Points de vigilance</w:t>
      </w:r>
      <w:bookmarkEnd w:id="18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427"/>
        <w:gridCol w:w="7280"/>
      </w:tblGrid>
      <w:tr>
        <w:trPr>
          <w:tblHeader/>
        </w:trPr>
        <w:tc>
          <w:tcPr>
            <w:tcW w:type="pct" w:w="125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Sujet</w:t>
            </w:r>
          </w:p>
        </w:tc>
        <w:tc>
          <w:tcPr>
            <w:tcW w:type="pct" w:w="375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Expéditeur</w:t>
            </w:r>
          </w:p>
        </w:tc>
        <w:tc>
          <w:tcPr>
            <w:tcW w:type="pct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MAIL_FROM doit correspondre à l’adresse authentifiée sur le serveur SMTP, sinon les messages sont rejetés ou classés en indésirable</w:t>
            </w:r>
          </w:p>
        </w:tc>
      </w:tr>
      <w:tr>
        <w:tc>
          <w:tcPr>
            <w:tcW w:type="pct" w:w="12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Connexion SMTP</w:t>
            </w:r>
          </w:p>
        </w:tc>
        <w:tc>
          <w:tcPr>
            <w:tcW w:type="pct" w:w="37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Le backend vérifie la connexion au démarrage et journalise l’erreur réelle du fournisseur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Trace</w:t>
            </w:r>
          </w:p>
        </w:tc>
        <w:tc>
          <w:tcPr>
            <w:tcW w:type="pct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Chaque envoi est journalisé (statut, destinataire, erreur) et consultable en base</w:t>
            </w:r>
          </w:p>
        </w:tc>
      </w:tr>
      <w:tr>
        <w:tc>
          <w:tcPr>
            <w:tcW w:type="pct" w:w="12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Liens</w:t>
            </w:r>
          </w:p>
        </w:tc>
        <w:tc>
          <w:tcPr>
            <w:tcW w:type="pct" w:w="37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PUBLIC_APP_URL doit être l’URL réellement servie (domaine HTTPS en production)</w:t>
            </w:r>
          </w:p>
        </w:tc>
      </w:tr>
    </w:tbl>
    <w:p>
      <w:pPr>
        <w:pStyle w:val="Heading1"/>
        <w:pageBreakBefore/>
        <w:spacing w:after="160" w:before="200"/>
      </w:pPr>
      <w:bookmarkStart w:name="_Toc19" w:id="19"/>
      <w:r>
        <w:rPr>
          <w:b/>
          <w:bCs/>
          <w:color w:val="001A70"/>
          <w:sz w:val="32"/>
          <w:szCs w:val="32"/>
        </w:rPr>
        <w:t xml:space="preserve">6. Connexion et gestion de session</w:t>
      </w:r>
      <w:bookmarkEnd w:id="19"/>
    </w:p>
    <w:p>
      <w:pPr>
        <w:spacing w:after="120" w:before="0"/>
      </w:pPr>
      <w:r>
        <w:rPr>
          <w:sz w:val="22"/>
          <w:szCs w:val="22"/>
        </w:rPr>
        <w:t xml:space="preserve">La connexion s’effectue avec l’adresse e-mail et le mot de passe. Les mots de passe ne sont jamais stockés en clair (hachage bcrypt, 12 tours).</w:t>
      </w:r>
    </w:p>
    <w:p>
      <w:pPr>
        <w:pStyle w:val="Heading2"/>
        <w:spacing w:after="120" w:before="220"/>
      </w:pPr>
      <w:bookmarkStart w:name="_Toc20" w:id="20"/>
      <w:r>
        <w:rPr>
          <w:b/>
          <w:bCs/>
          <w:color w:val="2D6CDF"/>
          <w:sz w:val="26"/>
          <w:szCs w:val="26"/>
        </w:rPr>
        <w:t xml:space="preserve">6.1 Mécanisme</w:t>
      </w:r>
      <w:bookmarkEnd w:id="20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718"/>
        <w:gridCol w:w="6988"/>
      </w:tblGrid>
      <w:tr>
        <w:trPr>
          <w:tblHeader/>
        </w:trPr>
        <w:tc>
          <w:tcPr>
            <w:tcW w:type="pct" w:w="14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pct" w:w="36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Comportement</w:t>
            </w:r>
          </w:p>
        </w:tc>
      </w:tr>
      <w:t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Jeton d’accès</w:t>
            </w:r>
          </w:p>
        </w:tc>
        <w:tc>
          <w:tcPr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Courte durée (15 min par défaut), transmis dans l’en-tête Authorization</w:t>
            </w:r>
          </w:p>
        </w:tc>
      </w:tr>
      <w:tr>
        <w:tc>
          <w:tcPr>
            <w:tcW w:type="pct" w:w="14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Jeton de rafraîchissement</w:t>
            </w:r>
          </w:p>
        </w:tc>
        <w:tc>
          <w:tcPr>
            <w:tcW w:type="pct" w:w="36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Cookie HttpOnly, SameSite=Lax, renouvelé à chaque usage</w:t>
            </w:r>
          </w:p>
        </w:tc>
      </w:tr>
      <w:t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Inactivité</w:t>
            </w:r>
          </w:p>
        </w:tc>
        <w:tc>
          <w:tcPr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Déconnexion après SESSION_IDLE_SECONDS (30 min par défaut)</w:t>
            </w:r>
          </w:p>
        </w:tc>
      </w:tr>
      <w:tr>
        <w:tc>
          <w:tcPr>
            <w:tcW w:type="pct" w:w="14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Durée maximale</w:t>
            </w:r>
          </w:p>
        </w:tc>
        <w:tc>
          <w:tcPr>
            <w:tcW w:type="pct" w:w="36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SESSION_ABSOLUTE_SECONDS (12 h par défaut)</w:t>
            </w:r>
          </w:p>
        </w:tc>
      </w:tr>
      <w:t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Verrouillage</w:t>
            </w:r>
          </w:p>
        </w:tc>
        <w:tc>
          <w:tcPr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Compte temporairement bloqué après plusieurs tentatives échouées</w:t>
            </w:r>
          </w:p>
        </w:tc>
      </w:tr>
    </w:tbl>
    <w:p>
      <w:pPr>
        <w:pStyle w:val="Heading2"/>
        <w:spacing w:after="120" w:before="220"/>
      </w:pPr>
      <w:bookmarkStart w:name="_Toc21" w:id="21"/>
      <w:r>
        <w:rPr>
          <w:b/>
          <w:bCs/>
          <w:color w:val="2D6CDF"/>
          <w:sz w:val="26"/>
          <w:szCs w:val="26"/>
        </w:rPr>
        <w:t xml:space="preserve">6.2 Si la connexion échoue</w:t>
      </w:r>
      <w:bookmarkEnd w:id="21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912"/>
        <w:gridCol w:w="3106"/>
        <w:gridCol w:w="3688"/>
      </w:tblGrid>
      <w:tr>
        <w:trPr>
          <w:tblHeader/>
        </w:trPr>
        <w:tc>
          <w:tcPr>
            <w:tcW w:type="pct" w:w="15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Symptôme</w:t>
            </w:r>
          </w:p>
        </w:tc>
        <w:tc>
          <w:tcPr>
            <w:tcW w:type="pct" w:w="16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 probable</w:t>
            </w:r>
          </w:p>
        </w:tc>
        <w:tc>
          <w:tcPr>
            <w:tcW w:type="pct" w:w="19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« Impossible de joindre le service »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API arrêtée ou port incorrect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Démarrer le backend, vérifier /auth/session</w:t>
            </w:r>
          </w:p>
        </w:tc>
      </w:tr>
      <w:tr>
        <w:tc>
          <w:tcPr>
            <w:tcW w:type="pct" w:w="1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« Identifiants invalides »</w:t>
            </w:r>
          </w:p>
        </w:tc>
        <w:tc>
          <w:tcPr>
            <w:tcW w:type="pct" w:w="16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Mot de passe erroné ou compte inexistant</w:t>
            </w:r>
          </w:p>
        </w:tc>
        <w:tc>
          <w:tcPr>
            <w:tcW w:type="pct" w:w="1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Utiliser « Mot de passe oublié »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« Compte non activé »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Invitation non finalisée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Renvoyer l’invitation depuis la fiche utilisateur</w:t>
            </w:r>
          </w:p>
        </w:tc>
      </w:tr>
      <w:tr>
        <w:tc>
          <w:tcPr>
            <w:tcW w:type="pct" w:w="1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« Compte désactivé »</w:t>
            </w:r>
          </w:p>
        </w:tc>
        <w:tc>
          <w:tcPr>
            <w:tcW w:type="pct" w:w="16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Compte désactivé par un administrateur</w:t>
            </w:r>
          </w:p>
        </w:tc>
        <w:tc>
          <w:tcPr>
            <w:tcW w:type="pct" w:w="1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Réactiver depuis l’administration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Boucle vers la page de connexion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Cookie de session absent (HTTPS requis)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Vérifier COOKIE_SECURE et l’accès HTTPS</w:t>
            </w:r>
          </w:p>
        </w:tc>
      </w:tr>
    </w:tbl>
    <w:p>
      <w:pPr>
        <w:pStyle w:val="Heading1"/>
        <w:pageBreakBefore/>
        <w:spacing w:after="160" w:before="200"/>
      </w:pPr>
      <w:bookmarkStart w:name="_Toc22" w:id="22"/>
      <w:r>
        <w:rPr>
          <w:b/>
          <w:bCs/>
          <w:color w:val="001A70"/>
          <w:sz w:val="32"/>
          <w:szCs w:val="32"/>
        </w:rPr>
        <w:t xml:space="preserve">7. Stations, adresses et carte</w:t>
      </w:r>
      <w:bookmarkEnd w:id="22"/>
    </w:p>
    <w:p>
      <w:pPr>
        <w:spacing w:after="120" w:before="0"/>
      </w:pPr>
      <w:r>
        <w:rPr>
          <w:sz w:val="22"/>
          <w:szCs w:val="22"/>
        </w:rPr>
        <w:t xml:space="preserve">L’adresse saisie est géocodée afin de positionner précisément la station. Les coordonnées GPS et le périmètre de pointage sont enregistrés avec la station.</w:t>
      </w:r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427"/>
        <w:gridCol w:w="7280"/>
      </w:tblGrid>
      <w:tr>
        <w:trPr>
          <w:tblHeader/>
        </w:trPr>
        <w:tc>
          <w:tcPr>
            <w:tcW w:type="pct" w:w="125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pct" w:w="375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qui se passe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Saisie de l’adresse</w:t>
            </w:r>
          </w:p>
        </w:tc>
        <w:tc>
          <w:tcPr>
            <w:tcW w:type="pct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Recherche d’adresse et suggestions ; la sélection met à jour adresse ET coordonnées</w:t>
            </w:r>
          </w:p>
        </w:tc>
      </w:tr>
      <w:tr>
        <w:tc>
          <w:tcPr>
            <w:tcW w:type="pct" w:w="12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Ajustement</w:t>
            </w:r>
          </w:p>
        </w:tc>
        <w:tc>
          <w:tcPr>
            <w:tcW w:type="pct" w:w="37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Clic ou glisser du repère sur la carte ; l’adresse est alors recalculée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Périmètre</w:t>
            </w:r>
          </w:p>
        </w:tc>
        <w:tc>
          <w:tcPr>
            <w:tcW w:type="pct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Le cercle affiché correspond au rayon de pointage (GEOFENCE_RADIUS_METERS)</w:t>
            </w:r>
          </w:p>
        </w:tc>
      </w:tr>
      <w:tr>
        <w:tc>
          <w:tcPr>
            <w:tcW w:type="pct" w:w="12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Enregistrement</w:t>
            </w:r>
          </w:p>
        </w:tc>
        <w:tc>
          <w:tcPr>
            <w:tcW w:type="pct" w:w="375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Refusé si l’adresse ou l’emplacement GPS manque</w:t>
            </w:r>
          </w:p>
        </w:tc>
      </w:tr>
    </w:tbl>
    <w:tbl>
      <w:tblPr>
        <w:tblW w:type="pct" w:w="5000"/>
        <w:tblBorders>
          <w:top w:val="none" w:color="FFFFFF" w:sz="0"/>
          <w:left w:val="single" w:color="2D6CDF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shd w:fill="EAF1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01A70"/>
                <w:sz w:val="21"/>
                <w:szCs w:val="21"/>
              </w:rPr>
              <w:t xml:space="preserve">Important</w:t>
            </w:r>
          </w:p>
          <w:p>
            <w:r>
              <w:rPr>
                <w:color w:val="33415C"/>
                <w:sz w:val="20"/>
                <w:szCs w:val="20"/>
              </w:rPr>
              <w:t xml:space="preserve">Le géocodage nécessite un accès Internet. Si le service est inaccessible, un message invite à placer le repère manuellement : aucune coordonnée par défaut n’est enregistrée.</w:t>
            </w:r>
          </w:p>
        </w:tc>
      </w:tr>
    </w:tbl>
    <w:p>
      <w:pPr>
        <w:pStyle w:val="Heading1"/>
        <w:pageBreakBefore/>
        <w:spacing w:after="160" w:before="200"/>
      </w:pPr>
      <w:bookmarkStart w:name="_Toc23" w:id="23"/>
      <w:r>
        <w:rPr>
          <w:b/>
          <w:bCs/>
          <w:color w:val="001A70"/>
          <w:sz w:val="32"/>
          <w:szCs w:val="32"/>
        </w:rPr>
        <w:t xml:space="preserve">8. Pointage (prise et fin de service)</w:t>
      </w:r>
      <w:bookmarkEnd w:id="23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135"/>
        <w:gridCol w:w="7571"/>
      </w:tblGrid>
      <w:tr>
        <w:trPr>
          <w:tblHeader/>
        </w:trPr>
        <w:tc>
          <w:tcPr>
            <w:tcW w:type="pct" w:w="11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Contrôle</w:t>
            </w:r>
          </w:p>
        </w:tc>
        <w:tc>
          <w:tcPr>
            <w:tcW w:type="pct" w:w="39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Règle appliquée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Affectation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Le service doit être publié et attribué à l’agent</w:t>
            </w:r>
          </w:p>
        </w:tc>
      </w:tr>
      <w:tr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Fenêtre</w:t>
            </w:r>
          </w:p>
        </w:tc>
        <w:tc>
          <w:tcPr>
            <w:tcW w:type="pct" w:w="3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Prise de service entre le début du créneau (10 min d’avance tolérée) et la fin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Position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Le pointage est accepté si l’agent est dans le périmètre, précision GPS comprise</w:t>
            </w:r>
          </w:p>
        </w:tc>
      </w:tr>
      <w:tr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Retard</w:t>
            </w:r>
          </w:p>
        </w:tc>
        <w:tc>
          <w:tcPr>
            <w:tcW w:type="pct" w:w="3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Statut « en retard » au-delà de la tolérance de la station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Doublon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Une seconde prise de service est refusée (erreur explicite)</w:t>
            </w:r>
          </w:p>
        </w:tc>
      </w:tr>
      <w:tr>
        <w:tc>
          <w:tcPr>
            <w:tcW w:type="pct" w:w="1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Fin de service</w:t>
            </w:r>
          </w:p>
        </w:tc>
        <w:tc>
          <w:tcPr>
            <w:tcW w:type="pct" w:w="3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Exige une prise de service ; possible jusqu’à 5 min après la fin du créneau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Absence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Un service passé sans pointage est marqué « non pointé » ; un pointage ultérieur rétablit la présence</w:t>
            </w:r>
          </w:p>
        </w:tc>
      </w:tr>
    </w:tbl>
    <w:p>
      <w:pPr>
        <w:pStyle w:val="Heading1"/>
        <w:pageBreakBefore/>
        <w:spacing w:after="160" w:before="200"/>
      </w:pPr>
      <w:bookmarkStart w:name="_Toc24" w:id="24"/>
      <w:r>
        <w:rPr>
          <w:b/>
          <w:bCs/>
          <w:color w:val="001A70"/>
          <w:sz w:val="32"/>
          <w:szCs w:val="32"/>
        </w:rPr>
        <w:t xml:space="preserve">9. Rapports et exports</w:t>
      </w:r>
      <w:bookmarkEnd w:id="24"/>
    </w:p>
    <w:p>
      <w:pPr>
        <w:pStyle w:val="Heading2"/>
        <w:spacing w:after="120" w:before="220"/>
      </w:pPr>
      <w:bookmarkStart w:name="_Toc25" w:id="25"/>
      <w:r>
        <w:rPr>
          <w:b/>
          <w:bCs/>
          <w:color w:val="2D6CDF"/>
          <w:sz w:val="26"/>
          <w:szCs w:val="26"/>
        </w:rPr>
        <w:t xml:space="preserve">9.1 Contenu du classeur XLSX</w:t>
      </w:r>
      <w:bookmarkEnd w:id="25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1941"/>
        <w:gridCol w:w="7765"/>
      </w:tblGrid>
      <w:tr>
        <w:trPr>
          <w:tblHeader/>
        </w:trPr>
        <w:tc>
          <w:tcPr>
            <w:tcW w:type="pct" w:w="10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Feuille</w:t>
            </w:r>
          </w:p>
        </w:tc>
        <w:tc>
          <w:tcPr>
            <w:tcW w:type="pct" w:w="40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Synthèse</w:t>
            </w:r>
          </w:p>
        </w:tc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Période, périmètre, indicateurs commentés (couverture, présence, heures, congés, mouvements)</w:t>
            </w:r>
          </w:p>
        </w:tc>
      </w:tr>
      <w:tr>
        <w:tc>
          <w:tcPr>
            <w:tcW w:type="pct" w:w="10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Assiduité</w:t>
            </w:r>
          </w:p>
        </w:tc>
        <w:tc>
          <w:tcPr>
            <w:tcW w:type="pct" w:w="40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Répartition par statut avec effectifs et pourcentages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Heures</w:t>
            </w:r>
          </w:p>
        </w:tc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Heures par agent, par station et par mois, avec totaux</w:t>
            </w:r>
          </w:p>
        </w:tc>
      </w:tr>
      <w:tr>
        <w:tc>
          <w:tcPr>
            <w:tcW w:type="pct" w:w="10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Couverture</w:t>
            </w:r>
          </w:p>
        </w:tc>
        <w:tc>
          <w:tcPr>
            <w:tcW w:type="pct" w:w="40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Par station : services, postes pourvus, taux, vacants, incidents, niveau de risque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Pointages</w:t>
            </w:r>
          </w:p>
        </w:tc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Détail ligne par ligne : jour, horaires, agent, statut, heures prévues/réalisées, écart, retard (filtres actifs)</w:t>
            </w:r>
          </w:p>
        </w:tc>
      </w:tr>
      <w:tr>
        <w:tc>
          <w:tcPr>
            <w:tcW w:type="pct" w:w="10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Mouvements</w:t>
            </w:r>
          </w:p>
        </w:tc>
        <w:tc>
          <w:tcPr>
            <w:tcW w:type="pct" w:w="40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Remplacements et changements d’affectation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>Le format CSV reprend le détail des pointages avec séparateur point-virgule et encodage UTF-8, directement exploitable dans Excel.</w:t>
      </w:r>
    </w:p>
    <w:p>
      <w:pPr>
        <w:pStyle w:val="Heading2"/>
        <w:spacing w:after="120" w:before="220"/>
      </w:pPr>
      <w:bookmarkStart w:name="_Toc26" w:id="26"/>
      <w:r>
        <w:rPr>
          <w:b/>
          <w:bCs/>
          <w:color w:val="2D6CDF"/>
          <w:sz w:val="26"/>
          <w:szCs w:val="26"/>
        </w:rPr>
        <w:t xml:space="preserve">9.2 Envoi programmé</w:t>
      </w:r>
      <w:bookmarkEnd w:id="26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329"/>
        <w:gridCol w:w="7377"/>
      </w:tblGrid>
      <w:tr>
        <w:trPr>
          <w:tblHeader/>
        </w:trPr>
        <w:tc>
          <w:tcPr>
            <w:tcW w:type="pct" w:w="12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pct" w:w="38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Réglage</w:t>
            </w:r>
          </w:p>
        </w:tc>
      </w:tr>
      <w:t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Fréquence</w:t>
            </w:r>
          </w:p>
        </w:tc>
        <w:tc>
          <w:tcPr>
            <w:tcW w:type="pct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Quotidienne, hebdomadaire ou mensuelle</w:t>
            </w:r>
          </w:p>
        </w:tc>
      </w:tr>
      <w:tr>
        <w:tc>
          <w:tcPr>
            <w:tcW w:type="pct" w:w="12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Destinataires</w:t>
            </w:r>
          </w:p>
        </w:tc>
        <w:tc>
          <w:tcPr>
            <w:tcW w:type="pct" w:w="38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Une ou plusieurs adresses e-mail</w:t>
            </w:r>
          </w:p>
        </w:tc>
      </w:tr>
      <w:t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Format</w:t>
            </w:r>
          </w:p>
        </w:tc>
        <w:tc>
          <w:tcPr>
            <w:tcW w:type="pct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XLSX ou CSV</w:t>
            </w:r>
          </w:p>
        </w:tc>
      </w:tr>
      <w:tr>
        <w:tc>
          <w:tcPr>
            <w:tcW w:type="pct" w:w="12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Périmètre</w:t>
            </w:r>
          </w:p>
        </w:tc>
        <w:tc>
          <w:tcPr>
            <w:tcW w:type="pct" w:w="38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Tout le réseau ou une station</w:t>
            </w:r>
          </w:p>
        </w:tc>
      </w:tr>
      <w:t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Envoi immédiat</w:t>
            </w:r>
          </w:p>
        </w:tc>
        <w:tc>
          <w:tcPr>
            <w:tcW w:type="pct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Bouton « Envoyer maintenant » (vérification sans attendre l’échéance)</w:t>
            </w:r>
          </w:p>
        </w:tc>
      </w:tr>
      <w:tr>
        <w:tc>
          <w:tcPr>
            <w:tcW w:type="pct" w:w="12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Historique</w:t>
            </w:r>
          </w:p>
        </w:tc>
        <w:tc>
          <w:tcPr>
            <w:tcW w:type="pct" w:w="38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Statut de chaque exécution, format et message d’erreur éventuel</w:t>
            </w:r>
          </w:p>
        </w:tc>
      </w:tr>
    </w:tbl>
    <w:p>
      <w:pPr>
        <w:pStyle w:val="Heading1"/>
        <w:pageBreakBefore/>
        <w:spacing w:after="160" w:before="200"/>
      </w:pPr>
      <w:bookmarkStart w:name="_Toc27" w:id="27"/>
      <w:r>
        <w:rPr>
          <w:b/>
          <w:bCs/>
          <w:color w:val="001A70"/>
          <w:sz w:val="32"/>
          <w:szCs w:val="32"/>
        </w:rPr>
        <w:t xml:space="preserve">10. Gestion des heures et des fuseaux</w:t>
      </w:r>
      <w:bookmarkEnd w:id="27"/>
    </w:p>
    <w:p>
      <w:pPr>
        <w:spacing w:after="120" w:before="0"/>
      </w:pPr>
      <w:r>
        <w:rPr>
          <w:sz w:val="22"/>
          <w:szCs w:val="22"/>
        </w:rPr>
        <w:t xml:space="preserve">Les horaires sont stockés en temps universel (UTC) et affichés dans le fuseau de la station (Africa/Douala, UTC+1, sans heure d’été). Tous les écrans — plannings, pointages, tableaux de bord, rapports, journal d’audit — utilisent cette même référence, quel que soit le fuseau du poste de consultation.</w:t>
      </w:r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912"/>
        <w:gridCol w:w="6794"/>
      </w:tblGrid>
      <w:tr>
        <w:trPr>
          <w:tblHeader/>
        </w:trPr>
        <w:tc>
          <w:tcPr>
            <w:tcW w:type="pct" w:w="15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 vérifié</w:t>
            </w:r>
          </w:p>
        </w:tc>
        <w:tc>
          <w:tcPr>
            <w:tcW w:type="pct" w:w="35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Création d’un créneau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Heure locale de la station convertie en instant exact</w:t>
            </w:r>
          </w:p>
        </w:tc>
      </w:tr>
      <w:tr>
        <w:tc>
          <w:tcPr>
            <w:tcW w:type="pct" w:w="1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Affichage</w:t>
            </w:r>
          </w:p>
        </w:tc>
        <w:tc>
          <w:tcPr>
            <w:tcW w:type="pct" w:w="3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Heure de la station sur tous les écrans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Exports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Horaires exprimés en heure de la station</w:t>
            </w:r>
          </w:p>
        </w:tc>
      </w:tr>
      <w:tr>
        <w:tc>
          <w:tcPr>
            <w:tcW w:type="pct" w:w="1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Horodatages</w:t>
            </w:r>
          </w:p>
        </w:tc>
        <w:tc>
          <w:tcPr>
            <w:tcW w:type="pct" w:w="3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Générés en UTC puis reformatés à l’affichage</w:t>
            </w:r>
          </w:p>
        </w:tc>
      </w:tr>
    </w:tbl>
    <w:p>
      <w:pPr>
        <w:pStyle w:val="Heading1"/>
        <w:pageBreakBefore/>
        <w:spacing w:after="160" w:before="200"/>
      </w:pPr>
      <w:bookmarkStart w:name="_Toc28" w:id="28"/>
      <w:r>
        <w:rPr>
          <w:b/>
          <w:bCs/>
          <w:color w:val="001A70"/>
          <w:sz w:val="32"/>
          <w:szCs w:val="32"/>
        </w:rPr>
        <w:t xml:space="preserve">11. Déploiement avec Docker</w:t>
      </w:r>
      <w:bookmarkEnd w:id="28"/>
    </w:p>
    <w:p>
      <w:pPr>
        <w:pStyle w:val="Heading2"/>
        <w:spacing w:after="120" w:before="220"/>
      </w:pPr>
      <w:bookmarkStart w:name="_Toc29" w:id="29"/>
      <w:r>
        <w:rPr>
          <w:b/>
          <w:bCs/>
          <w:color w:val="2D6CDF"/>
          <w:sz w:val="26"/>
          <w:szCs w:val="26"/>
        </w:rPr>
        <w:t xml:space="preserve">11.1 Services</w:t>
      </w:r>
      <w:bookmarkEnd w:id="29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1553"/>
        <w:gridCol w:w="2718"/>
        <w:gridCol w:w="3688"/>
        <w:gridCol w:w="1747"/>
      </w:tblGrid>
      <w:tr>
        <w:trPr>
          <w:tblHeader/>
        </w:trPr>
        <w:tc>
          <w:tcPr>
            <w:tcW w:type="pct" w:w="8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pct" w:w="14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pct" w:w="19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pct" w:w="9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Exposition</w:t>
            </w:r>
          </w:p>
        </w:tc>
      </w:tr>
      <w:t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frontend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nginx:1.27-alpine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Sert le plateau et redirige /api vers le backend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127.0.0.1:8080</w:t>
            </w:r>
          </w:p>
        </w:tc>
      </w:tr>
      <w:tr>
        <w:tc>
          <w:tcPr>
            <w:tcW w:type="pct" w:w="8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backend</w:t>
            </w:r>
          </w:p>
        </w:tc>
        <w:tc>
          <w:tcPr>
            <w:tcW w:type="pct" w:w="14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node:22-bookworm-slim</w:t>
            </w:r>
          </w:p>
        </w:tc>
        <w:tc>
          <w:tcPr>
            <w:tcW w:type="pct" w:w="1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API NestJS (utilisateur non-root)</w:t>
            </w:r>
          </w:p>
        </w:tc>
        <w:tc>
          <w:tcPr>
            <w:tcW w:type="pct" w:w="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127.0.0.1:3000</w:t>
            </w:r>
          </w:p>
        </w:tc>
      </w:tr>
      <w:t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db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postgres:16-alpine</w:t>
            </w:r>
          </w:p>
        </w:tc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Base PostgreSQL dédiée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Aucun port publié</w:t>
            </w:r>
          </w:p>
        </w:tc>
      </w:tr>
      <w:tr>
        <w:tc>
          <w:tcPr>
            <w:tcW w:type="pct" w:w="8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migrate</w:t>
            </w:r>
          </w:p>
        </w:tc>
        <w:tc>
          <w:tcPr>
            <w:tcW w:type="pct" w:w="14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image backend (profil tools)</w:t>
            </w:r>
          </w:p>
        </w:tc>
        <w:tc>
          <w:tcPr>
            <w:tcW w:type="pct" w:w="1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Applique les migrations Prisma</w:t>
            </w:r>
          </w:p>
        </w:tc>
        <w:tc>
          <w:tcPr>
            <w:tcW w:type="pct" w:w="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Manuel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>Réseau et volumes sont propres à uSwap (uswap-internal, uswap-pgdata, uswap-uploads) : aucun conflit avec les autres applications du serveur.</w:t>
      </w:r>
    </w:p>
    <w:p>
      <w:pPr>
        <w:pStyle w:val="Heading2"/>
        <w:spacing w:after="120" w:before="220"/>
      </w:pPr>
      <w:bookmarkStart w:name="_Toc30" w:id="30"/>
      <w:r>
        <w:rPr>
          <w:b/>
          <w:bCs/>
          <w:color w:val="2D6CDF"/>
          <w:sz w:val="26"/>
          <w:szCs w:val="26"/>
        </w:rPr>
        <w:t xml:space="preserve">11.2 Fichiers de déploiement</w:t>
      </w:r>
      <w:bookmarkEnd w:id="30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3688"/>
        <w:gridCol w:w="6018"/>
      </w:tblGrid>
      <w:tr>
        <w:trPr>
          <w:tblHeader/>
        </w:trPr>
        <w:tc>
          <w:tcPr>
            <w:tcW w:type="pct" w:w="19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pct" w:w="31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deploy/compose.yaml</w:t>
            </w:r>
          </w:p>
        </w:tc>
        <w:tc>
          <w:tcPr>
            <w:tcW w:type="pct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Orchestration des services</w:t>
            </w:r>
          </w:p>
        </w:tc>
      </w:tr>
      <w:tr>
        <w:tc>
          <w:tcPr>
            <w:tcW w:type="pct" w:w="1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deploy/.env.example</w:t>
            </w:r>
          </w:p>
        </w:tc>
        <w:tc>
          <w:tcPr>
            <w:tcW w:type="pct" w:w="3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Modèle des variables (aucune valeur réelle)</w:t>
            </w:r>
          </w:p>
        </w:tc>
      </w:tr>
      <w:tr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deploy/.env</w:t>
            </w:r>
          </w:p>
        </w:tc>
        <w:tc>
          <w:tcPr>
            <w:tcW w:type="pct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Configuration réelle du serveur — jamais versionné</w:t>
            </w:r>
          </w:p>
        </w:tc>
      </w:tr>
      <w:tr>
        <w:tc>
          <w:tcPr>
            <w:tcW w:type="pct" w:w="1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backend_new/Dockerfile</w:t>
            </w:r>
          </w:p>
        </w:tc>
        <w:tc>
          <w:tcPr>
            <w:tcW w:type="pct" w:w="3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Construction de l’API (multi-étapes)</w:t>
            </w:r>
          </w:p>
        </w:tc>
      </w:tr>
      <w:tr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frontend_new/frontend/Dockerfile</w:t>
            </w:r>
          </w:p>
        </w:tc>
        <w:tc>
          <w:tcPr>
            <w:tcW w:type="pct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Construction du frontend puis image Nginx</w:t>
            </w:r>
          </w:p>
        </w:tc>
      </w:tr>
      <w:tr>
        <w:tc>
          <w:tcPr>
            <w:tcW w:type="pct" w:w="1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frontend_new/frontend/deploy/nginx.conf</w:t>
            </w:r>
          </w:p>
        </w:tc>
        <w:tc>
          <w:tcPr>
            <w:tcW w:type="pct" w:w="3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Routage SPA, cache, en-têtes, proxy /api</w:t>
            </w:r>
          </w:p>
        </w:tc>
      </w:tr>
      <w:tr>
        <w:tc>
          <w:tcPr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deploy/check-server.sh</w:t>
            </w:r>
          </w:p>
        </w:tc>
        <w:tc>
          <w:tcPr>
            <w:tcW w:type="pct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Vérification de l’arborescence avant construction</w:t>
            </w:r>
          </w:p>
        </w:tc>
      </w:tr>
    </w:tbl>
    <w:p>
      <w:pPr>
        <w:pStyle w:val="Heading2"/>
        <w:spacing w:after="120" w:before="220"/>
      </w:pPr>
      <w:bookmarkStart w:name="_Toc31" w:id="31"/>
      <w:r>
        <w:rPr>
          <w:b/>
          <w:bCs/>
          <w:color w:val="2D6CDF"/>
          <w:sz w:val="26"/>
          <w:szCs w:val="26"/>
        </w:rPr>
        <w:t xml:space="preserve">11.3 Procédure de déploiement</w:t>
      </w:r>
      <w:bookmarkEnd w:id="31"/>
    </w:p>
    <w:p>
      <w:pPr>
        <w:spacing w:after="120" w:before="0"/>
      </w:pPr>
      <w:r>
        <w:rPr>
          <w:b/>
          <w:bCs/>
          <w:sz w:val="22"/>
          <w:szCs w:val="22"/>
        </w:rPr>
        <w:t xml:space="preserve">1. Récupérer la branche develop sur le serveur :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git clone &lt;dépôt&gt; /opt/uswap-github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cd /opt/uswap-github &amp;&amp; git checkout develop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2. Créer la configuration :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cp deploy/.env.example deploy/.env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chmod 600 deploy/.env</w:t>
      </w:r>
    </w:p>
    <w:p>
      <w:pPr>
        <w:spacing w:after="120" w:before="0"/>
      </w:pPr>
      <w:r>
        <w:rPr>
          <w:sz w:val="22"/>
          <w:szCs w:val="22"/>
        </w:rPr>
        <w:t xml:space="preserve">Renseigner le domaine, les secrets JWT (openssl rand -base64 48), le mot de passe PostgreSQL, le compte administrateur initial et, si nécessaire, les paramètres SMTP.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3. Vérifier l’environnement et la configuration :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bash deploy/check-server.sh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docker compose -f deploy/compose.yaml --env-file deploy/.env config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4. Construire et démarrer :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docker compose -f deploy/compose.yaml --env-file deploy/.env up -d --build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5. Appliquer les migrations (base vide ou nouvelle version) :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docker compose -f deploy/compose.yaml --env-file deploy/.env --profile tools run --rm migrate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6. Initialiser le serveur (référentiel + super administrateur) :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docker compose -f deploy/compose.yaml --env-file deploy/.env --profile tools run --rm bootstrap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7. Brancher le reverse proxy HTTPS de l’hôte vers 127.0.0.1:8080.</w:t>
      </w:r>
    </w:p>
    <w:p>
      <w:pPr>
        <w:pStyle w:val="Heading2"/>
        <w:spacing w:after="120" w:before="220"/>
      </w:pPr>
      <w:bookmarkStart w:name="_Toc32" w:id="32"/>
      <w:r>
        <w:rPr>
          <w:b/>
          <w:bCs/>
          <w:color w:val="2D6CDF"/>
          <w:sz w:val="26"/>
          <w:szCs w:val="26"/>
        </w:rPr>
        <w:t xml:space="preserve">11.3.1 Ce que crée l’initialisation (service bootstrap)</w:t>
      </w:r>
      <w:bookmarkEnd w:id="32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718"/>
        <w:gridCol w:w="6988"/>
      </w:tblGrid>
      <w:tr>
        <w:trPr>
          <w:tblHeader/>
        </w:trPr>
        <w:tc>
          <w:tcPr>
            <w:tcW w:type="pct" w:w="14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pct" w:w="36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Réglages globaux</w:t>
            </w:r>
          </w:p>
        </w:tc>
        <w:tc>
          <w:tcPr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Session, validité des invitations, taille des pièces jointes, rétention, support</w:t>
            </w:r>
          </w:p>
        </w:tc>
      </w:tr>
      <w:tr>
        <w:tc>
          <w:tcPr>
            <w:tcW w:type="pct" w:w="14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Stations</w:t>
            </w:r>
          </w:p>
        </w:tc>
        <w:tc>
          <w:tcPr>
            <w:tcW w:type="pct" w:w="36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Bonabéri (Douala) et Yaoundé Centre, avec coordonnées, fuseau et périmètre de pointage</w:t>
            </w:r>
          </w:p>
        </w:tc>
      </w:tr>
      <w:t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Modèles de shift</w:t>
            </w:r>
          </w:p>
        </w:tc>
        <w:tc>
          <w:tcPr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Matin, après-midi et nuit par station, avec pause</w:t>
            </w:r>
          </w:p>
        </w:tc>
      </w:tr>
      <w:tr>
        <w:tc>
          <w:tcPr>
            <w:tcW w:type="pct" w:w="14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Super administrateur</w:t>
            </w:r>
          </w:p>
        </w:tc>
        <w:tc>
          <w:tcPr>
            <w:tcW w:type="pct" w:w="36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Compte SUPER_ADMIN défini par SUPERADMIN_EMAIL et SUPERADMIN_PASSWORD</w:t>
            </w:r>
          </w:p>
        </w:tc>
      </w:tr>
      <w:t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Administrateur (option)</w:t>
            </w:r>
          </w:p>
        </w:tc>
        <w:tc>
          <w:tcPr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Créé seulement si ADMIN_EMAIL et ADMIN_PASSWORD sont renseignés</w:t>
            </w:r>
          </w:p>
        </w:tc>
      </w:tr>
      <w:tr>
        <w:tc>
          <w:tcPr>
            <w:tcW w:type="pct" w:w="14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Préférences</w:t>
            </w:r>
          </w:p>
        </w:tc>
        <w:tc>
          <w:tcPr>
            <w:tcW w:type="pct" w:w="36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Préférences de notification initialisées pour chaque compte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>Aucune donnée de démonstration n’est créée : ni agent, ni planning, ni pointage, ni congé, ni incident. Les comptes des équipes se créent ensuite depuis l’interface, par invitation.</w:t>
      </w:r>
    </w:p>
    <w:p>
      <w:pPr>
        <w:spacing w:after="120" w:before="0"/>
      </w:pPr>
      <w:r>
        <w:rPr>
          <w:sz w:val="22"/>
          <w:szCs w:val="22"/>
        </w:rPr>
        <w:t xml:space="preserve">Le script est rejouable à chaque déploiement : il ne supprime aucune donnée et ne réécrit pas le mot de passe d’un compte existant.</w:t>
      </w:r>
    </w:p>
    <w:p>
      <w:pPr>
        <w:pStyle w:val="Heading2"/>
        <w:spacing w:after="120" w:before="220"/>
      </w:pPr>
      <w:bookmarkStart w:name="_Toc33" w:id="33"/>
      <w:r>
        <w:rPr>
          <w:b/>
          <w:bCs/>
          <w:color w:val="2D6CDF"/>
          <w:sz w:val="26"/>
          <w:szCs w:val="26"/>
        </w:rPr>
        <w:t xml:space="preserve">11.3.2 Repartir d’une base propre</w:t>
      </w:r>
      <w:bookmarkEnd w:id="33"/>
    </w:p>
    <w:p>
      <w:pPr>
        <w:spacing w:after="120" w:before="0"/>
      </w:pPr>
      <w:r>
        <w:rPr>
          <w:sz w:val="22"/>
          <w:szCs w:val="22"/>
        </w:rPr>
        <w:t xml:space="preserve">Après une phase de démonstration, la commande de remise à zéro supprime les données d’exploitation et les comptes de test, en conservant le référentiel et les comptes réels :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npm run db:reset              # affiche les volumes concernés</w:t>
      </w:r>
    </w:p>
    <w:p>
      <w:pPr>
        <w:shd w:fill="F1F4F9" w:val="clear"/>
        <w:spacing w:after="60"/>
      </w:pPr>
      <w:r>
        <w:rPr>
          <w:rFonts w:ascii="Consolas" w:cs="Consolas" w:eastAsia="Consolas" w:hAnsi="Consolas"/>
          <w:color w:val="16223A"/>
          <w:sz w:val="19"/>
          <w:szCs w:val="19"/>
        </w:rPr>
        <w:t xml:space="preserve">npm run db:reset -- --confirm # supprime réellement</w:t>
      </w:r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4853"/>
        <w:gridCol w:w="4853"/>
      </w:tblGrid>
      <w:tr>
        <w:trPr>
          <w:tblHeader/>
        </w:trPr>
        <w:tc>
          <w:tcPr>
            <w:tcW w:type="pct" w:w="25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Supprimé</w:t>
            </w:r>
          </w:p>
        </w:tc>
        <w:tc>
          <w:tcPr>
            <w:tcW w:type="pct" w:w="25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Conservé</w:t>
            </w:r>
          </w:p>
        </w:tc>
      </w:tr>
      <w:t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Plannings, services, affectations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Stations et coordonnées</w:t>
            </w:r>
          </w:p>
        </w:tc>
      </w:tr>
      <w:tr>
        <w:tc>
          <w:tcPr>
            <w:tcW w:type="pct" w:w="2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Pointages, absences, corrections</w:t>
            </w:r>
          </w:p>
        </w:tc>
        <w:tc>
          <w:tcPr>
            <w:tcW w:type="pct" w:w="2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Modèles de shift et historique de versions</w:t>
            </w:r>
          </w:p>
        </w:tc>
      </w:tr>
      <w:t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Congés, incidents et leur suivi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Réglages globaux</w:t>
            </w:r>
          </w:p>
        </w:tc>
      </w:tr>
      <w:tr>
        <w:tc>
          <w:tcPr>
            <w:tcW w:type="pct" w:w="2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Notifications, journaux e-mail, audit</w:t>
            </w:r>
          </w:p>
        </w:tc>
        <w:tc>
          <w:tcPr>
            <w:tcW w:type="pct" w:w="2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Comptes réels (adresses hors domaines de test)</w:t>
            </w:r>
          </w:p>
        </w:tc>
      </w:tr>
      <w:t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Rapports programmés et historique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Super administrateur et administrateurs</w:t>
            </w:r>
          </w:p>
        </w:tc>
      </w:tr>
      <w:tr>
        <w:tc>
          <w:tcPr>
            <w:tcW w:type="pct" w:w="2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Sessions, jetons, comptes de test</w:t>
            </w:r>
          </w:p>
        </w:tc>
        <w:tc>
          <w:tcPr>
            <w:tcW w:type="pct" w:w="2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/>
            </w:r>
          </w:p>
        </w:tc>
      </w:tr>
    </w:tbl>
    <w:tbl>
      <w:tblPr>
        <w:tblW w:type="pct" w:w="5000"/>
        <w:tblBorders>
          <w:top w:val="none" w:color="FFFFFF" w:sz="0"/>
          <w:left w:val="single" w:color="2D6CDF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shd w:fill="EAF1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001A70"/>
                <w:sz w:val="21"/>
                <w:szCs w:val="21"/>
              </w:rPr>
              <w:t xml:space="preserve">Migrations</w:t>
            </w:r>
          </w:p>
          <w:p>
            <w:r>
              <w:rPr>
                <w:color w:val="33415C"/>
                <w:sz w:val="20"/>
                <w:szCs w:val="20"/>
              </w:rPr>
              <w:t xml:space="preserve">Ne jamais utiliser « migrate dev », « migrate reset » ou « db push » en production : seul « prisma migrate deploy » est autorisé, et il est strictement additif.</w:t>
            </w:r>
          </w:p>
        </w:tc>
      </w:tr>
    </w:tbl>
    <w:p>
      <w:pPr>
        <w:pStyle w:val="Heading2"/>
        <w:spacing w:after="120" w:before="220"/>
      </w:pPr>
      <w:bookmarkStart w:name="_Toc34" w:id="34"/>
      <w:r>
        <w:rPr>
          <w:b/>
          <w:bCs/>
          <w:color w:val="2D6CDF"/>
          <w:sz w:val="26"/>
          <w:szCs w:val="26"/>
        </w:rPr>
        <w:t xml:space="preserve">11.4 Contraintes à respecter sur le serveur</w:t>
      </w:r>
      <w:bookmarkEnd w:id="34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329"/>
        <w:gridCol w:w="7377"/>
      </w:tblGrid>
      <w:tr>
        <w:trPr>
          <w:tblHeader/>
        </w:trPr>
        <w:tc>
          <w:tcPr>
            <w:tcW w:type="pct" w:w="12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pct" w:w="38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Réglage</w:t>
            </w:r>
          </w:p>
        </w:tc>
      </w:tr>
      <w:t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Mémoire</w:t>
            </w:r>
          </w:p>
        </w:tc>
        <w:tc>
          <w:tcPr>
            <w:tcW w:type="pct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512 Mo minimum pour la pile complète ; 1 Go recommandé</w:t>
            </w:r>
          </w:p>
        </w:tc>
      </w:tr>
      <w:tr>
        <w:tc>
          <w:tcPr>
            <w:tcW w:type="pct" w:w="12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Disque</w:t>
            </w:r>
          </w:p>
        </w:tc>
        <w:tc>
          <w:tcPr>
            <w:tcW w:type="pct" w:w="38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10 Go recommandés (images, base, sauvegardes, pièces jointes)</w:t>
            </w:r>
          </w:p>
        </w:tc>
      </w:tr>
      <w:t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Ports</w:t>
            </w:r>
          </w:p>
        </w:tc>
        <w:tc>
          <w:tcPr>
            <w:tcW w:type="pct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3000 et 8080 libres sur la boucle locale uniquement</w:t>
            </w:r>
          </w:p>
        </w:tc>
      </w:tr>
      <w:tr>
        <w:tc>
          <w:tcPr>
            <w:tcW w:type="pct" w:w="12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Sécurité</w:t>
            </w:r>
          </w:p>
        </w:tc>
        <w:tc>
          <w:tcPr>
            <w:tcW w:type="pct" w:w="38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deploy/.env en permissions 600 ; aucun port base de données publié</w:t>
            </w:r>
          </w:p>
        </w:tc>
      </w:tr>
      <w:tr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Sauvegardes</w:t>
            </w:r>
          </w:p>
        </w:tc>
        <w:tc>
          <w:tcPr>
            <w:tcW w:type="pct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Sauvegarde régulière du volume PostgreSQL et du volume des pièces jointes</w:t>
            </w:r>
          </w:p>
        </w:tc>
      </w:tr>
      <w:tr>
        <w:tc>
          <w:tcPr>
            <w:tcW w:type="pct" w:w="12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Mise à jour</w:t>
            </w:r>
          </w:p>
        </w:tc>
        <w:tc>
          <w:tcPr>
            <w:tcW w:type="pct" w:w="38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Récupérer develop, puis up -d --build et migrate deploy</w:t>
            </w:r>
          </w:p>
        </w:tc>
      </w:tr>
    </w:tbl>
    <w:p>
      <w:pPr>
        <w:pStyle w:val="Heading2"/>
        <w:spacing w:after="120" w:before="220"/>
      </w:pPr>
      <w:bookmarkStart w:name="_Toc35" w:id="35"/>
      <w:r>
        <w:rPr>
          <w:b/>
          <w:bCs/>
          <w:color w:val="2D6CDF"/>
          <w:sz w:val="26"/>
          <w:szCs w:val="26"/>
        </w:rPr>
        <w:t xml:space="preserve">11.5 Exploitation courante</w:t>
      </w:r>
      <w:bookmarkEnd w:id="35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912"/>
        <w:gridCol w:w="6794"/>
      </w:tblGrid>
      <w:tr>
        <w:trPr>
          <w:tblHeader/>
        </w:trPr>
        <w:tc>
          <w:tcPr>
            <w:tcW w:type="pct" w:w="15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pct" w:w="35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Journaux du backend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docker compose -f deploy/compose.yaml logs -f backend</w:t>
            </w:r>
          </w:p>
        </w:tc>
      </w:tr>
      <w:tr>
        <w:tc>
          <w:tcPr>
            <w:tcW w:type="pct" w:w="1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État des services</w:t>
            </w:r>
          </w:p>
        </w:tc>
        <w:tc>
          <w:tcPr>
            <w:tcW w:type="pct" w:w="3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docker compose -f deploy/compose.yaml ps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Sauvegarde de la base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docker compose -f deploy/compose.yaml exec -T db pg_dump -U &lt;utilisateur&gt; &lt;base&gt; &gt; sauvegarde.sql</w:t>
            </w:r>
          </w:p>
        </w:tc>
      </w:tr>
      <w:tr>
        <w:tc>
          <w:tcPr>
            <w:tcW w:type="pct" w:w="1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Redémarrage</w:t>
            </w:r>
          </w:p>
        </w:tc>
        <w:tc>
          <w:tcPr>
            <w:tcW w:type="pct" w:w="3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docker compose -f deploy/compose.yaml restart backend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Arrêt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docker compose -f deploy/compose.yaml down</w:t>
            </w:r>
          </w:p>
        </w:tc>
      </w:tr>
    </w:tbl>
    <w:p>
      <w:pPr>
        <w:pStyle w:val="Heading1"/>
        <w:pageBreakBefore/>
        <w:spacing w:after="160" w:before="200"/>
      </w:pPr>
      <w:bookmarkStart w:name="_Toc36" w:id="36"/>
      <w:r>
        <w:rPr>
          <w:b/>
          <w:bCs/>
          <w:color w:val="001A70"/>
          <w:sz w:val="32"/>
          <w:szCs w:val="32"/>
        </w:rPr>
        <w:t xml:space="preserve">12. Sécurité et bonnes pratiques</w:t>
      </w:r>
      <w:bookmarkEnd w:id="36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524"/>
        <w:gridCol w:w="7182"/>
      </w:tblGrid>
      <w:tr>
        <w:trPr>
          <w:tblHeader/>
        </w:trPr>
        <w:tc>
          <w:tcPr>
            <w:tcW w:type="pct" w:w="13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  <w:tc>
          <w:tcPr>
            <w:tcW w:type="pct" w:w="37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Secrets hors dépôt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Les fichiers .env ne sont ni versionnés ni copiés dans les images Docker</w:t>
            </w:r>
          </w:p>
        </w:tc>
      </w:tr>
      <w:tr>
        <w:tc>
          <w:tcPr>
            <w:tcW w:type="pct" w:w="13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Jetons</w:t>
            </w:r>
          </w:p>
        </w:tc>
        <w:tc>
          <w:tcPr>
            <w:tcW w:type="pct" w:w="37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Mot de passe oublié et activation : jetons à usage unique, durée limitée, hachés en base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Mots de passe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Hachage bcrypt, politique minimale (8 caractères, lettre et chiffre)</w:t>
            </w:r>
          </w:p>
        </w:tc>
      </w:tr>
      <w:tr>
        <w:tc>
          <w:tcPr>
            <w:tcW w:type="pct" w:w="13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HTTPS</w:t>
            </w:r>
          </w:p>
        </w:tc>
        <w:tc>
          <w:tcPr>
            <w:tcW w:type="pct" w:w="37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Obligatoire en production ; activer COOKIE_SECURE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Sessions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Renouvellement à chaque usage, fermeture à la déconnexion</w:t>
            </w:r>
          </w:p>
        </w:tc>
      </w:tr>
      <w:tr>
        <w:tc>
          <w:tcPr>
            <w:tcW w:type="pct" w:w="13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Traçabilité</w:t>
            </w:r>
          </w:p>
        </w:tc>
        <w:tc>
          <w:tcPr>
            <w:tcW w:type="pct" w:w="37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Journal d’audit des actions sensibles (comptes, plannings, pointages, nettoyage)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Nettoyage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Suppression des données de test réservée au super administrateur, avec simulation préalable</w:t>
            </w:r>
          </w:p>
        </w:tc>
      </w:tr>
    </w:tbl>
    <w:p>
      <w:pPr>
        <w:pStyle w:val="Heading1"/>
        <w:pageBreakBefore/>
        <w:spacing w:after="160" w:before="200"/>
      </w:pPr>
      <w:bookmarkStart w:name="_Toc37" w:id="37"/>
      <w:r>
        <w:rPr>
          <w:b/>
          <w:bCs/>
          <w:color w:val="001A70"/>
          <w:sz w:val="32"/>
          <w:szCs w:val="32"/>
        </w:rPr>
        <w:t xml:space="preserve">13. Vérifications avant mise en production</w:t>
      </w:r>
      <w:bookmarkEnd w:id="37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912"/>
        <w:gridCol w:w="6794"/>
      </w:tblGrid>
      <w:tr>
        <w:trPr>
          <w:tblHeader/>
        </w:trPr>
        <w:tc>
          <w:tcPr>
            <w:tcW w:type="pct" w:w="15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Contrôle</w:t>
            </w:r>
          </w:p>
        </w:tc>
        <w:tc>
          <w:tcPr>
            <w:tcW w:type="pct" w:w="35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Connexion administrateur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Accès au tableau de bord</w:t>
            </w:r>
          </w:p>
        </w:tc>
      </w:tr>
      <w:tr>
        <w:tc>
          <w:tcPr>
            <w:tcW w:type="pct" w:w="1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Mot de passe oublié</w:t>
            </w:r>
          </w:p>
        </w:tc>
        <w:tc>
          <w:tcPr>
            <w:tcW w:type="pct" w:w="3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E-mail reçu, lien valide, nouveau mot de passe accepté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Invitation d’un compte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E-mail d’activation reçu, compte activé puis connecté</w:t>
            </w:r>
          </w:p>
        </w:tc>
      </w:tr>
      <w:tr>
        <w:tc>
          <w:tcPr>
            <w:tcW w:type="pct" w:w="1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Pointage</w:t>
            </w:r>
          </w:p>
        </w:tc>
        <w:tc>
          <w:tcPr>
            <w:tcW w:type="pct" w:w="3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Prise de service puis fin de service enregistrées, statut « terminé »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Rapport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Envoi immédiat reçu avec pièce jointe lisible</w:t>
            </w:r>
          </w:p>
        </w:tc>
      </w:tr>
      <w:tr>
        <w:tc>
          <w:tcPr>
            <w:tcW w:type="pct" w:w="1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Congés</w:t>
            </w:r>
          </w:p>
        </w:tc>
        <w:tc>
          <w:tcPr>
            <w:tcW w:type="pct" w:w="3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Demande créée, approuvée, solde mis à jour</w:t>
            </w:r>
          </w:p>
        </w:tc>
      </w:tr>
      <w:tr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Incident</w:t>
            </w:r>
          </w:p>
        </w:tc>
        <w:tc>
          <w:tcPr>
            <w:tcW w:type="pct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Signalement enregistré et visible dans le centre d’incidents</w:t>
            </w:r>
          </w:p>
        </w:tc>
      </w:tr>
      <w:tr>
        <w:tc>
          <w:tcPr>
            <w:tcW w:type="pct" w:w="1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Transactions</w:t>
            </w:r>
          </w:p>
        </w:tc>
        <w:tc>
          <w:tcPr>
            <w:tcW w:type="pct" w:w="35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Aucune erreur de fuseau horaire sur les écrans</w:t>
            </w:r>
          </w:p>
        </w:tc>
      </w:tr>
    </w:tbl>
    <w:p>
      <w:pPr>
        <w:pStyle w:val="Heading2"/>
        <w:spacing w:after="120" w:before="220"/>
      </w:pPr>
      <w:bookmarkStart w:name="_Toc38" w:id="38"/>
      <w:r>
        <w:rPr>
          <w:b/>
          <w:bCs/>
          <w:color w:val="2D6CDF"/>
          <w:sz w:val="26"/>
          <w:szCs w:val="26"/>
        </w:rPr>
        <w:t xml:space="preserve">13.1 Scripts de recette fournis</w:t>
      </w:r>
      <w:bookmarkEnd w:id="38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4077"/>
        <w:gridCol w:w="5629"/>
      </w:tblGrid>
      <w:tr>
        <w:trPr>
          <w:tblHeader/>
        </w:trPr>
        <w:tc>
          <w:tcPr>
            <w:tcW w:type="pct" w:w="21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pct" w:w="29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</w:t>
            </w:r>
          </w:p>
        </w:tc>
      </w:tr>
      <w:tr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backend_new/_scripts/recette-flow.mjs</w:t>
            </w:r>
          </w:p>
        </w:tc>
        <w:tc>
          <w:tcPr>
            <w:tcW w:type="pct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E-mails (réinitialisation, rapport), rapport avec pièce jointe, prise et fin de service</w:t>
            </w:r>
          </w:p>
        </w:tc>
      </w:tr>
      <w:tr>
        <w:tc>
          <w:tcPr>
            <w:tcW w:type="pct" w:w="2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backend_new/_scripts/recette-metier.mjs</w:t>
            </w:r>
          </w:p>
        </w:tc>
        <w:tc>
          <w:tcPr>
            <w:tcW w:type="pct" w:w="29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Connexion, congés, signalement d’absence, incident, export XLSX</w:t>
            </w:r>
          </w:p>
        </w:tc>
      </w:tr>
      <w:tr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deploy/check-server.sh</w:t>
            </w:r>
          </w:p>
        </w:tc>
        <w:tc>
          <w:tcPr>
            <w:tcW w:type="pct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Contrôle de l’arborescence et de la configuration avant construction</w:t>
            </w:r>
          </w:p>
        </w:tc>
      </w:tr>
    </w:tbl>
    <w:p>
      <w:pPr>
        <w:pStyle w:val="Heading1"/>
        <w:pageBreakBefore/>
        <w:spacing w:after="160" w:before="200"/>
      </w:pPr>
      <w:bookmarkStart w:name="_Toc39" w:id="39"/>
      <w:r>
        <w:rPr>
          <w:b/>
          <w:bCs/>
          <w:color w:val="001A70"/>
          <w:sz w:val="32"/>
          <w:szCs w:val="32"/>
        </w:rPr>
        <w:t xml:space="preserve">14. Dépannage</w:t>
      </w:r>
      <w:bookmarkEnd w:id="39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524"/>
        <w:gridCol w:w="3106"/>
        <w:gridCol w:w="4077"/>
      </w:tblGrid>
      <w:tr>
        <w:trPr>
          <w:tblHeader/>
        </w:trPr>
        <w:tc>
          <w:tcPr>
            <w:tcW w:type="pct" w:w="13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Problème</w:t>
            </w:r>
          </w:p>
        </w:tc>
        <w:tc>
          <w:tcPr>
            <w:tcW w:type="pct" w:w="16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 probable</w:t>
            </w:r>
          </w:p>
        </w:tc>
        <w:tc>
          <w:tcPr>
            <w:tcW w:type="pct" w:w="21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Les e-mails ne partent pas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Pilote e-mail non SMTP ou identifiants invalides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Vérifier MAIL_DRIVER, SMTP_HOST et les journaux du backend</w:t>
            </w:r>
          </w:p>
        </w:tc>
      </w:tr>
      <w:tr>
        <w:tc>
          <w:tcPr>
            <w:tcW w:type="pct" w:w="13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Lien reçu inutilisable</w:t>
            </w:r>
          </w:p>
        </w:tc>
        <w:tc>
          <w:tcPr>
            <w:tcW w:type="pct" w:w="16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PUBLIC_APP_URL incorrect</w:t>
            </w:r>
          </w:p>
        </w:tc>
        <w:tc>
          <w:tcPr>
            <w:tcW w:type="pct" w:w="2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Aligner l’URL sur le domaine réellement servi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Pointage refusé (position)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Agent hors périmètre ou GPS imprécis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Vérifier les coordonnées et le rayon de la station</w:t>
            </w:r>
          </w:p>
        </w:tc>
      </w:tr>
      <w:tr>
        <w:tc>
          <w:tcPr>
            <w:tcW w:type="pct" w:w="13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Aucun service à pointer</w:t>
            </w:r>
          </w:p>
        </w:tc>
        <w:tc>
          <w:tcPr>
            <w:tcW w:type="pct" w:w="16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Planning non publié ou non affecté</w:t>
            </w:r>
          </w:p>
        </w:tc>
        <w:tc>
          <w:tcPr>
            <w:tcW w:type="pct" w:w="2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Publier le planning et affecter l’agent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Décalage d’une heure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Navigateur sur un autre fuseau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Sans impact : l’application affiche l’heure de la station</w:t>
            </w:r>
          </w:p>
        </w:tc>
      </w:tr>
      <w:tr>
        <w:tc>
          <w:tcPr>
            <w:tcW w:type="pct" w:w="13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Rapport non reçu</w:t>
            </w:r>
          </w:p>
        </w:tc>
        <w:tc>
          <w:tcPr>
            <w:tcW w:type="pct" w:w="16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Administrateur tiers ou destinataire erroné</w:t>
            </w:r>
          </w:p>
        </w:tc>
        <w:tc>
          <w:tcPr>
            <w:tcW w:type="pct" w:w="21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Consulter l’historique d’exécution du rapport</w:t>
            </w:r>
          </w:p>
        </w:tc>
      </w:tr>
    </w:tbl>
    <w:p>
      <w:pPr>
        <w:pStyle w:val="Heading1"/>
        <w:pageBreakBefore/>
        <w:spacing w:after="160" w:before="200"/>
      </w:pPr>
      <w:bookmarkStart w:name="_Toc40" w:id="40"/>
      <w:r>
        <w:rPr>
          <w:b/>
          <w:bCs/>
          <w:color w:val="001A70"/>
          <w:sz w:val="32"/>
          <w:szCs w:val="32"/>
        </w:rPr>
        <w:t xml:space="preserve">15. Glossaire</w:t>
      </w:r>
      <w:bookmarkEnd w:id="40"/>
    </w:p>
    <w:tbl>
      <w:tblPr>
        <w:tblW w:type="pct" w:w="500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E4E9F2" w:sz="2"/>
          <w:insideV w:val="single" w:color="E4E9F2" w:sz="2"/>
        </w:tblBorders>
      </w:tblPr>
      <w:tblGrid>
        <w:gridCol w:w="2524"/>
        <w:gridCol w:w="7182"/>
      </w:tblGrid>
      <w:tr>
        <w:trPr>
          <w:tblHeader/>
        </w:trPr>
        <w:tc>
          <w:tcPr>
            <w:tcW w:type="pct" w:w="13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Terme</w:t>
            </w:r>
          </w:p>
        </w:tc>
        <w:tc>
          <w:tcPr>
            <w:tcW w:type="pct" w:w="3700"/>
            <w:shd w:fill="001A7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Service (shift)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Créneau de travail planifié sur une station, avec début et fin</w:t>
            </w:r>
          </w:p>
        </w:tc>
      </w:tr>
      <w:tr>
        <w:tc>
          <w:tcPr>
            <w:tcW w:type="pct" w:w="13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Occurrence</w:t>
            </w:r>
          </w:p>
        </w:tc>
        <w:tc>
          <w:tcPr>
            <w:tcW w:type="pct" w:w="37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Instance concrète d’un service à une date donnée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Affectation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Lien entre un service et un agent</w:t>
            </w:r>
          </w:p>
        </w:tc>
      </w:tr>
      <w:tr>
        <w:tc>
          <w:tcPr>
            <w:tcW w:type="pct" w:w="13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Périmètre de pointage</w:t>
            </w:r>
          </w:p>
        </w:tc>
        <w:tc>
          <w:tcPr>
            <w:tcW w:type="pct" w:w="37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Rayon (en mètres) autour de la station dans lequel le pointage est accepté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Pointage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Prise de service (début) ou fin de service (départ) enregistrée par l’agent</w:t>
            </w:r>
          </w:p>
        </w:tc>
      </w:tr>
      <w:tr>
        <w:tc>
          <w:tcPr>
            <w:tcW w:type="pct" w:w="13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Non pointé</w:t>
            </w:r>
          </w:p>
        </w:tc>
        <w:tc>
          <w:tcPr>
            <w:tcW w:type="pct" w:w="3700"/>
            <w:shd w:fill="F8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Service passé sans aucun pointage (distinct d’une absence constatée)</w:t>
            </w:r>
          </w:p>
        </w:tc>
      </w:tr>
      <w:tr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223A"/>
                <w:sz w:val="19"/>
                <w:szCs w:val="19"/>
              </w:rPr>
              <w:t xml:space="preserve">Rapport programmé</w:t>
            </w:r>
          </w:p>
        </w:tc>
        <w:tc>
          <w:tcPr>
            <w:tcW w:type="pct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6223A"/>
                <w:sz w:val="19"/>
                <w:szCs w:val="19"/>
              </w:rPr>
              <w:t xml:space="preserve">Export récurrent envoyé automatiquement par e-mail</w:t>
            </w:r>
          </w:p>
        </w:tc>
      </w:tr>
    </w:tbl>
    <w:p>
      <w:pPr>
        <w:pageBreakBefore/>
      </w:pPr>
      <w:p/>
    </w:p>
    <w:p>
      <w:pPr>
        <w:spacing w:after="120" w:before="0"/>
      </w:pPr>
      <w:r>
        <w:rPr>
          <w:i/>
          <w:iCs/>
          <w:color w:val="5A6478"/>
          <w:sz w:val="22"/>
          <w:szCs w:val="22"/>
        </w:rPr>
        <w:t xml:space="preserve">Fin du document.</w:t>
      </w:r>
    </w:p>
    <w:p>
      <w:pPr>
        <w:spacing w:after="120" w:before="0"/>
      </w:pPr>
      <w:r>
        <w:rPr>
          <w:i/>
          <w:iCs/>
          <w:color w:val="5A6478"/>
          <w:sz w:val="19"/>
          <w:szCs w:val="19"/>
        </w:rPr>
        <w:t xml:space="preserve">Pour toute difficulté de déploiement, transmettre les journaux du service concerné (docker compose logs) et la sortie de deploy/check-server.sh.</w:t>
      </w:r>
    </w:p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8"/>
        <w:sz w:val="17"/>
        <w:szCs w:val="17"/>
      </w:rPr>
      <w:t xml:space="preserve">Page </w:t>
    </w:r>
    <w:r>
      <w:rPr>
        <w:color w:val="5A6478"/>
        <w:sz w:val="17"/>
        <w:szCs w:val="17"/>
      </w:rPr>
      <w:fldChar w:fldCharType="begin"/>
    </w:r>
    <w:r>
      <w:rPr>
        <w:color w:val="5A6478"/>
        <w:sz w:val="17"/>
        <w:szCs w:val="17"/>
      </w:rPr>
      <w:instrText xml:space="preserve">PAGE</w:instrText>
    </w:r>
    <w:r>
      <w:rPr>
        <w:color w:val="5A6478"/>
        <w:sz w:val="17"/>
        <w:szCs w:val="17"/>
      </w:rPr>
      <w:fldChar w:fldCharType="separate"/>
    </w:r>
    <w:r>
      <w:rPr>
        <w:color w:val="5A6478"/>
        <w:sz w:val="17"/>
        <w:szCs w:val="17"/>
      </w:rPr>
      <w:fldChar w:fldCharType="end"/>
    </w:r>
    <w:r>
      <w:rPr>
        <w:color w:val="5A6478"/>
        <w:sz w:val="17"/>
        <w:szCs w:val="17"/>
      </w:rPr>
      <w:t xml:space="preserve"> / </w:t>
    </w:r>
    <w:r>
      <w:rPr>
        <w:color w:val="5A6478"/>
        <w:sz w:val="17"/>
        <w:szCs w:val="17"/>
      </w:rPr>
      <w:fldChar w:fldCharType="begin"/>
    </w:r>
    <w:r>
      <w:rPr>
        <w:color w:val="5A6478"/>
        <w:sz w:val="17"/>
        <w:szCs w:val="17"/>
      </w:rPr>
      <w:instrText xml:space="preserve">NUMPAGES</w:instrText>
    </w:r>
    <w:r>
      <w:rPr>
        <w:color w:val="5A6478"/>
        <w:sz w:val="17"/>
        <w:szCs w:val="17"/>
      </w:rPr>
      <w:fldChar w:fldCharType="separate"/>
    </w:r>
    <w:r>
      <w:rPr>
        <w:color w:val="5A647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8"/>
        <w:sz w:val="17"/>
        <w:szCs w:val="17"/>
      </w:rPr>
      <w:t xml:space="preserve">uSwap —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23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uSwap — Documentation technique et fonctionnelle</dc:title>
  <dc:creator>Équipe uSwap</dc:creator>
  <dc:description>Guide de déploiement, d’exploitation et d’administration</dc:description>
  <cp:lastModifiedBy>Un-named</cp:lastModifiedBy>
  <cp:revision>1</cp:revision>
  <dcterms:created xsi:type="dcterms:W3CDTF">2026-10-27T11:35:47.905Z</dcterms:created>
  <dcterms:modified xsi:type="dcterms:W3CDTF">2026-10-27T11:35:47.911Z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