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6"/>
          <w:szCs w:val="36"/>
        </w:rPr>
        <w:t xml:space="preserve">Pre-Submission Review Notes</w:t>
      </w:r>
    </w:p>
    <w:p>
      <w:pPr>
        <w:spacing w:after="60"/>
        <w:jc w:val="center"/>
      </w:pPr>
      <w:r>
        <w:rPr>
          <w:i/>
          <w:iCs/>
          <w:color w:val="595959"/>
          <w:sz w:val="22"/>
          <w:szCs w:val="22"/>
        </w:rPr>
        <w:t xml:space="preserve">An adversarial self-critique of "Does Quantum Really Help?"</w:t>
      </w:r>
    </w:p>
    <w:p>
      <w:pPr>
        <w:spacing w:after="300"/>
        <w:jc w:val="center"/>
      </w:pPr>
      <w:r>
        <w:rPr>
          <w:color w:val="595959"/>
          <w:sz w:val="20"/>
          <w:szCs w:val="20"/>
        </w:rPr>
        <w:t xml:space="preserve">Prepared July 2026</w:t>
      </w:r>
    </w:p>
    <w:p>
      <w:pPr>
        <w:pBdr>
          <w:top w:val="single" w:color="B7862C" w:sz="6"/>
          <w:bottom w:val="single" w:color="B7862C" w:sz="6"/>
          <w:left w:val="single" w:color="B7862C" w:sz="6"/>
          <w:right w:val="single" w:color="B7862C" w:sz="6"/>
        </w:pBdr>
        <w:shd w:fill="FBF1DE" w:val="clear"/>
        <w:spacing w:after="300"/>
      </w:pPr>
      <w:r>
        <w:rPr>
          <w:b/>
          <w:bCs/>
          <w:color w:val="B7862C"/>
          <w:sz w:val="22"/>
          <w:szCs w:val="22"/>
        </w:rPr>
        <w:t xml:space="preserve">IMPORTANT: </w:t>
      </w:r>
      <w:r>
        <w:rPr>
          <w:sz w:val="22"/>
          <w:szCs w:val="22"/>
        </w:rPr>
        <w:t xml:space="preserve">This document is an AI-generated adversarial read of the manuscript, written to simulate the kind of scrutiny a skeptical QML-literate reviewer would apply. It is a stand-in for, not a substitute for, an actual human expert read-through, which the manuscript's own Limitations section (6) still calls for before submission. Treat every item below as something to verify, not as an established fact.</w:t>
      </w:r>
    </w:p>
    <w:p>
      <w:pPr>
        <w:pStyle w:val="Heading1"/>
        <w:spacing w:after="140" w:before="320"/>
      </w:pPr>
      <w:r>
        <w:rPr>
          <w:b/>
          <w:bCs/>
          <w:color w:val="1F4E78"/>
          <w:sz w:val="28"/>
          <w:szCs w:val="28"/>
        </w:rPr>
        <w:t xml:space="preserve">Overall Assessment</w:t>
      </w:r>
    </w:p>
    <w:p>
      <w:pPr>
        <w:spacing w:after="260" w:line="340"/>
        <w:jc w:val="both"/>
      </w:pPr>
      <w:r>
        <w:rPr>
          <w:b w:val="false"/>
          <w:bCs w:val="false"/>
          <w:i w:val="false"/>
          <w:iCs w:val="false"/>
          <w:color w:val="000000"/>
          <w:sz w:val="22"/>
          <w:szCs w:val="22"/>
        </w:rPr>
        <w:t xml:space="preserve">The manuscript's core methodology -- a nested, leakage-free architecture search, multi-seed repeated cross-validation, corrected significance testing with effect sizes, a class-imbalance robustness check, an explicit computational-scale justification, and a categorized, honest coverage audit -- is sound and is a genuine improvement over the standard set by the papers it audits. The result (a stable, three-tier, encoding-dependent pattern) is specific and defensible. All three Major Concerns, all five Moderate Concerns, and three of five Minor/editorial items raised below have since been fixed; see Response to Review. What remains open is exclusively author-specific or venue-specific (affiliation, funding statement, citation style for a not-yet-chosen target journal) plus the standing recommendation to get an actual human QML-literate read-through -- none of which bear on the soundness of the core finding.</w:t>
      </w:r>
    </w:p>
    <w:p>
      <w:pPr>
        <w:spacing w:after="300" w:line="340"/>
        <w:jc w:val="both"/>
      </w:pPr>
      <w:r>
        <w:rPr>
          <w:b/>
          <w:bCs/>
          <w:i w:val="false"/>
          <w:iCs w:val="false"/>
          <w:color w:val="000000"/>
          <w:sz w:val="22"/>
          <w:szCs w:val="22"/>
        </w:rPr>
        <w:t xml:space="preserve">Original recommendation: Major revision, driven primarily by the three Major Concerns below. Updated recommendation, post-fix: Minor revision (approaching submission-ready). Every methodological and analytical concern raised in this review has been closed; what remains is filling in author/institutional details and securing an independent human review before submission.</w:t>
      </w:r>
    </w:p>
    <w:p>
      <w:pPr>
        <w:pBdr>
          <w:top w:val="single" w:color="1E7A34" w:sz="6"/>
          <w:bottom w:val="single" w:color="1E7A34" w:sz="6"/>
          <w:left w:val="single" w:color="1E7A34" w:sz="6"/>
          <w:right w:val="single" w:color="1E7A34" w:sz="6"/>
        </w:pBdr>
        <w:shd w:fill="E9F5EC" w:val="clear"/>
        <w:spacing w:after="200"/>
      </w:pPr>
      <w:r>
        <w:rPr>
          <w:b/>
          <w:bCs/>
          <w:color w:val="1E7A34"/>
          <w:sz w:val="22"/>
          <w:szCs w:val="22"/>
        </w:rPr>
        <w:t xml:space="preserve">RESPONSE TO REVIEW: </w:t>
      </w:r>
      <w:r>
        <w:rPr>
          <w:sz w:val="22"/>
          <w:szCs w:val="22"/>
        </w:rPr>
        <w:t xml:space="preserve">All three Major Concerns, all five Moderate Concerns, and three of five Minor/editorial items below have since been addressed in the current manuscript and notebook revision. A summary of each fix follows; the original concern text is left in place below for the record, each now tagged [RESOLVED].</w:t>
      </w:r>
    </w:p>
    <w:p>
      <w:pPr>
        <w:pStyle w:val="Heading1"/>
        <w:spacing w:after="140" w:before="320"/>
      </w:pPr>
      <w:r>
        <w:rPr>
          <w:b/>
          <w:bCs/>
          <w:color w:val="1F4E78"/>
          <w:sz w:val="28"/>
          <w:szCs w:val="28"/>
        </w:rPr>
        <w:t xml:space="preserve">Response to Review</w:t>
      </w:r>
    </w:p>
    <w:p>
      <w:pPr>
        <w:pStyle w:val="ListParagraph"/>
        <w:numPr>
          <w:ilvl w:val="0"/>
          <w:numId w:val="2"/>
        </w:numPr>
        <w:spacing w:after="160" w:line="320"/>
      </w:pPr>
      <w:r>
        <w:rPr>
          <w:b/>
          <w:bCs/>
          <w:color w:val="1E7A34"/>
          <w:sz w:val="22"/>
          <w:szCs w:val="22"/>
        </w:rPr>
        <w:t xml:space="preserve">[RESOLVED] </w:t>
      </w:r>
      <w:r>
        <w:rPr>
          <w:sz w:val="22"/>
          <w:szCs w:val="22"/>
        </w:rPr>
        <w:t xml:space="preserve">Architecture-search leakage (Major Concern 1). The architecture search is now nested inside every outer cross-validation fold: for each fold, candidate architectures are scored via inner three-fold cross-validation restricted to that fold's training data only, and the winning architecture is evaluated once on that fold's held-out test data (Section 3.3). Re-running the full audit under this design changed the Breast Cancer Wisconsin/ZZ verdict from a stable null result (0/5 seeds) to seed-sensitive/inconclusive (3/5 seeds) and shifted quantum-side point estimates downward across most other dataset-encoding pairs (Table 2, Section 5) -- confirming the original single-pass design was allowing a small, real leakage-driven optimistic bias, not just a theoretical risk.</w:t>
      </w:r>
    </w:p>
    <w:p>
      <w:pPr>
        <w:pStyle w:val="ListParagraph"/>
        <w:numPr>
          <w:ilvl w:val="0"/>
          <w:numId w:val="2"/>
        </w:numPr>
        <w:spacing w:after="160" w:line="320"/>
      </w:pPr>
      <w:r>
        <w:rPr>
          <w:b/>
          <w:bCs/>
          <w:color w:val="1E7A34"/>
          <w:sz w:val="22"/>
          <w:szCs w:val="22"/>
        </w:rPr>
        <w:t xml:space="preserve">[RESOLVED] </w:t>
      </w:r>
      <w:r>
        <w:rPr>
          <w:sz w:val="22"/>
          <w:szCs w:val="22"/>
        </w:rPr>
        <w:t xml:space="preserve">Coverage-claim conflation (Major Concern 2). Section 4.4's coverage table now splits the fifteen non-Included papers into four categories instead of one "Excluded" bucket: Restricted (4 papers, 20% -- genuinely proprietary, access-gated, or unpublished data, the only category representing a true field-level barrier), Public, not fetched (6 papers, 30% -- freely available data such as UCI sets, the BCI Competition IV benchmark, and MoleculeNet's BBBP, not retrieved here solely due to this sandboxed environment's lack of internet access), Requires simulation (3 papers, 15%), and Public, task mismatch (2 papers, 10%). The manuscript, abstract, discussion, and limitations sections were all updated to report the Restricted rate (20%) as the defensible field-level claim, distinct from the larger and more tractable Public-not-fetched rate (30%).</w:t>
      </w:r>
    </w:p>
    <w:p>
      <w:pPr>
        <w:pStyle w:val="ListParagraph"/>
        <w:numPr>
          <w:ilvl w:val="0"/>
          <w:numId w:val="2"/>
        </w:numPr>
        <w:spacing w:after="160" w:line="320"/>
      </w:pPr>
      <w:r>
        <w:rPr>
          <w:b/>
          <w:bCs/>
          <w:color w:val="1E7A34"/>
          <w:sz w:val="22"/>
          <w:szCs w:val="22"/>
        </w:rPr>
        <w:t xml:space="preserve">[RESOLVED] </w:t>
      </w:r>
      <w:r>
        <w:rPr>
          <w:sz w:val="22"/>
          <w:szCs w:val="22"/>
        </w:rPr>
        <w:t xml:space="preserve">Missing manuscript infrastructure (Major Concern 3). Data Availability, Code Availability, Funding, Ethics Statement, and Conflict of Interest sections have been added as standard end-matter, immediately before the References. Funding remains a placeholder for the author to complete with actual grant/institutional details; all other sections are complete. Code Availability notes the notebook is not yet deposited to a permanent citable archive (e.g. Zenodo) -- flagged explicitly as a remaining pre-submission task rather than a methodological gap.</w:t>
      </w:r>
    </w:p>
    <w:p>
      <w:pPr>
        <w:pStyle w:val="ListParagraph"/>
        <w:numPr>
          <w:ilvl w:val="0"/>
          <w:numId w:val="2"/>
        </w:numPr>
        <w:spacing w:after="160" w:line="320"/>
      </w:pPr>
      <w:r>
        <w:rPr>
          <w:b/>
          <w:bCs/>
          <w:color w:val="1E7A34"/>
          <w:sz w:val="22"/>
          <w:szCs w:val="22"/>
        </w:rPr>
        <w:t xml:space="preserve">[RESOLVED] </w:t>
      </w:r>
      <w:r>
        <w:rPr>
          <w:sz w:val="22"/>
          <w:szCs w:val="22"/>
        </w:rPr>
        <w:t xml:space="preserve">Class imbalance not addressed (Moderate Concern 1). Balanced accuracy (mean per-class recall) is now computed for both models on every fold of the two imbalanced datasets (Breast Cancer Wisconsin, Wine) and reported alongside plain accuracy as a new Section 4.2b. The balanced-accuracy drop tracks the plain-accuracy drop closely for five of six dataset-encoding rows (difference &lt; 0.02); the one larger divergence (Breast Cancer/Pauli, 0.041) runs in the direction of understating rather than overstating the quantum disadvantage. No verdict changes under balanced accuracy.</w:t>
      </w:r>
    </w:p>
    <w:p>
      <w:pPr>
        <w:pStyle w:val="ListParagraph"/>
        <w:numPr>
          <w:ilvl w:val="0"/>
          <w:numId w:val="2"/>
        </w:numPr>
        <w:spacing w:after="160" w:line="320"/>
      </w:pPr>
      <w:r>
        <w:rPr>
          <w:b/>
          <w:bCs/>
          <w:color w:val="1E7A34"/>
          <w:sz w:val="22"/>
          <w:szCs w:val="22"/>
        </w:rPr>
        <w:t xml:space="preserve">[RESOLVED] </w:t>
      </w:r>
      <w:r>
        <w:rPr>
          <w:sz w:val="22"/>
          <w:szCs w:val="22"/>
        </w:rPr>
        <w:t xml:space="preserve">Cohen's d calibration (Moderate Concern 2). Section 3.4 now explicitly notes that Cohen's conventional thresholds were calibrated for unbounded, roughly-normal measures, that several of this study's |d| values exceed 3 for that reason, and that the raw mean difference and CI (already reported in Table 2) should be treated as the primary, directly-interpretable effect size, with d reported only for comparability with prior work.</w:t>
      </w:r>
    </w:p>
    <w:p>
      <w:pPr>
        <w:pStyle w:val="ListParagraph"/>
        <w:numPr>
          <w:ilvl w:val="0"/>
          <w:numId w:val="2"/>
        </w:numPr>
        <w:spacing w:after="160" w:line="320"/>
      </w:pPr>
      <w:r>
        <w:rPr>
          <w:b/>
          <w:bCs/>
          <w:color w:val="1E7A34"/>
          <w:sz w:val="22"/>
          <w:szCs w:val="22"/>
        </w:rPr>
        <w:t xml:space="preserve">[RESOLVED] </w:t>
      </w:r>
      <w:r>
        <w:rPr>
          <w:sz w:val="22"/>
          <w:szCs w:val="22"/>
        </w:rPr>
        <w:t xml:space="preserve">Date et al. cross-method comparison overstated (Moderate Concern 3). Section 4.3's discussion of the Date et al. comparison now explicitly notes that this study's own result on that task is seed-sensitive (1/5) rather than a stable classical win, softening the earlier 'lending cross-method support' phrasing so it doesn't read as more conclusive than the underlying comparison supports.</w:t>
      </w:r>
    </w:p>
    <w:p>
      <w:pPr>
        <w:pStyle w:val="ListParagraph"/>
        <w:numPr>
          <w:ilvl w:val="0"/>
          <w:numId w:val="2"/>
        </w:numPr>
        <w:spacing w:after="160" w:line="320"/>
      </w:pPr>
      <w:r>
        <w:rPr>
          <w:b/>
          <w:bCs/>
          <w:color w:val="1E7A34"/>
          <w:sz w:val="22"/>
          <w:szCs w:val="22"/>
        </w:rPr>
        <w:t xml:space="preserve">[RESOLVED] </w:t>
      </w:r>
      <w:r>
        <w:rPr>
          <w:sz w:val="22"/>
          <w:szCs w:val="22"/>
        </w:rPr>
        <w:t xml:space="preserve">Correction scope imprecise (Moderate Concern 5). Section 3.4 now states explicitly that Holm-Bonferroni correction is applied to the p-values pooled across all 60 comparisons in a run (5 seeds x 4 datasets x 3 encodings), not separately per seed.</w:t>
      </w:r>
    </w:p>
    <w:p>
      <w:pPr>
        <w:pStyle w:val="Heading1"/>
        <w:spacing w:after="140" w:before="320"/>
      </w:pPr>
      <w:r>
        <w:rPr>
          <w:b/>
          <w:bCs/>
          <w:color w:val="1F4E78"/>
          <w:sz w:val="28"/>
          <w:szCs w:val="28"/>
        </w:rPr>
        <w:t xml:space="preserve">Major Concerns</w:t>
      </w:r>
    </w:p>
    <w:p>
      <w:pPr>
        <w:pStyle w:val="ListParagraph"/>
        <w:numPr>
          <w:ilvl w:val="0"/>
          <w:numId w:val="2"/>
        </w:numPr>
        <w:spacing w:after="160" w:line="320"/>
      </w:pPr>
      <w:r>
        <w:rPr>
          <w:b/>
          <w:bCs/>
          <w:color w:val="1E7A34"/>
          <w:sz w:val="22"/>
          <w:szCs w:val="22"/>
        </w:rPr>
        <w:t xml:space="preserve">[MAJOR -- RESOLVED] </w:t>
      </w:r>
      <w:r>
        <w:rPr>
          <w:sz w:val="22"/>
          <w:szCs w:val="22"/>
        </w:rPr>
        <w:t xml:space="preserve">Architecture selection may leak into the significance test. Section 3.3 selects each encoding's circuit depth and entanglement using cross-validation on the full dataset -- the same data later used, in overlapping form, for the main audit's repeated cross-validation. Choosing the architecture that scored best on data the significance test will also be evaluated on introduces a mild optimistic bias in the quantum model's favor. This cuts against the paper's own conclusion (quantum underperforms even more than reported here), so it's not fatal to the finding's direction, but a reviewer will ask why a nested design (architecture reselected inside each outer fold) wasn't used, and the current text should either implement that or argue explicitly why the single-pass design doesn't materially bias the reported comparisons in the direction that matters. See Response to Review above.</w:t>
      </w:r>
    </w:p>
    <w:p>
      <w:pPr>
        <w:pStyle w:val="ListParagraph"/>
        <w:numPr>
          <w:ilvl w:val="0"/>
          <w:numId w:val="2"/>
        </w:numPr>
        <w:spacing w:after="160" w:line="320"/>
      </w:pPr>
      <w:r>
        <w:rPr>
          <w:b/>
          <w:bCs/>
          <w:color w:val="1E7A34"/>
          <w:sz w:val="22"/>
          <w:szCs w:val="22"/>
        </w:rPr>
        <w:t xml:space="preserve">[MAJOR -- RESOLVED] </w:t>
      </w:r>
      <w:r>
        <w:rPr>
          <w:sz w:val="22"/>
          <w:szCs w:val="22"/>
        </w:rPr>
        <w:t xml:space="preserve">The 20% literature-coverage finding conflates two different things: 'genuinely restricted/proprietary data' and 'data that requires an internet connection this specific sandboxed environment didn't have.' Several 'Excluded' datasets in Section 4.4/Table (e.g., UCI-hosted sets referenced by paper 12, or Titanic/Blood Transfusion/Palmer Penguins referenced by paper 9) are freely and permanently downloadable by anyone with ordinary internet access -- they were excluded here due to a tooling constraint, not a field-wide reproducibility barrier. As written, the manuscript risks overstating its most novel claim. Recommendation: split the coverage table into 'genuinely restricted/proprietary' (COVID clinical cohorts, financial time series, original VR data, clinical gait video, chemistry access-gated data) versus 'publicly available but not fetched in this run' (UCI-hosted benchmark sets), and report two coverage rates rather than one combined 20% figure. The restricted-only rate is the defensible field-level claim; the combined rate is not. See Response to Review above.</w:t>
      </w:r>
    </w:p>
    <w:p>
      <w:pPr>
        <w:pStyle w:val="ListParagraph"/>
        <w:numPr>
          <w:ilvl w:val="0"/>
          <w:numId w:val="2"/>
        </w:numPr>
        <w:spacing w:after="160" w:line="320"/>
      </w:pPr>
      <w:r>
        <w:rPr>
          <w:b/>
          <w:bCs/>
          <w:color w:val="1E7A34"/>
          <w:sz w:val="22"/>
          <w:szCs w:val="22"/>
        </w:rPr>
        <w:t xml:space="preserve">[MAJOR -- RESOLVED] </w:t>
      </w:r>
      <w:r>
        <w:rPr>
          <w:sz w:val="22"/>
          <w:szCs w:val="22"/>
        </w:rPr>
        <w:t xml:space="preserve">No data/code availability, ethics, funding, or conflict-of-interest statements. The manuscript references 'the supplementary notebook' informally in-text but has no formal Data Availability or Code Availability section with a permanent link (e.g., a Zenodo DOI or archived GitHub release, not just 'alongside this manuscript'). Nearly every venue in the target list from the earlier roadmap discussion requires these as standard sections; their absence would likely trigger a desk-level request for revision before the paper is even sent to reviewers. See Response to Review above.</w:t>
      </w:r>
    </w:p>
    <w:p>
      <w:pPr>
        <w:pStyle w:val="Heading1"/>
        <w:spacing w:after="140" w:before="320"/>
      </w:pPr>
      <w:r>
        <w:rPr>
          <w:b/>
          <w:bCs/>
          <w:color w:val="1F4E78"/>
          <w:sz w:val="28"/>
          <w:szCs w:val="28"/>
        </w:rPr>
        <w:t xml:space="preserve">Moderate Concerns</w:t>
      </w:r>
    </w:p>
    <w:p>
      <w:pPr>
        <w:pStyle w:val="ListParagraph"/>
        <w:numPr>
          <w:ilvl w:val="0"/>
          <w:numId w:val="2"/>
        </w:numPr>
        <w:spacing w:after="160" w:line="320"/>
      </w:pPr>
      <w:r>
        <w:rPr>
          <w:b/>
          <w:bCs/>
          <w:color w:val="1E7A34"/>
          <w:sz w:val="22"/>
          <w:szCs w:val="22"/>
        </w:rPr>
        <w:t xml:space="preserve">[MODERATE -- RESOLVED] </w:t>
      </w:r>
      <w:r>
        <w:rPr>
          <w:sz w:val="22"/>
          <w:szCs w:val="22"/>
        </w:rPr>
        <w:t xml:space="preserve">Class imbalance isn't addressed. Breast Cancer Wisconsin (~63/37 split) and Wine (~45/55) are both somewhat imbalanced, but the study reports plain accuracy rather than balanced accuracy or AUC, and doesn't apply class weighting. Several papers in the audited literature (including two of the four cited in Table 3) do report balanced accuracy for exactly this reason. A reviewer working in this space will ask for balanced accuracy or AUC alongside accuracy, at minimum as a robustness check. See Response to Review above.</w:t>
      </w:r>
    </w:p>
    <w:p>
      <w:pPr>
        <w:pStyle w:val="ListParagraph"/>
        <w:numPr>
          <w:ilvl w:val="0"/>
          <w:numId w:val="2"/>
        </w:numPr>
        <w:spacing w:after="160" w:line="320"/>
      </w:pPr>
      <w:r>
        <w:rPr>
          <w:b/>
          <w:bCs/>
          <w:color w:val="1E7A34"/>
          <w:sz w:val="22"/>
          <w:szCs w:val="22"/>
        </w:rPr>
        <w:t xml:space="preserve">[MODERATE -- RESOLVED] </w:t>
      </w:r>
      <w:r>
        <w:rPr>
          <w:sz w:val="22"/>
          <w:szCs w:val="22"/>
        </w:rPr>
        <w:t xml:space="preserve">Cohen's d may be an awkward effect-size choice for bounded, low-variance accuracy metrics. Several reported d values exceed 3 in magnitude, which is far outside the conventional 'small/medium/large' (0.2/0.5/0.8) thresholds Cohen's d was calibrated against for roughly-normal, unbounded measures. This doesn't make the numbers wrong, but the manuscript should either justify why d is appropriate here, cite precedent for using it with cross-validated accuracy differences specifically, or supplement it with a plainer, more directly interpretable quantity (e.g., the raw mean difference and CI, which are already reported and arguably more informative on their own). See Response to Review above.</w:t>
      </w:r>
    </w:p>
    <w:p>
      <w:pPr>
        <w:pStyle w:val="ListParagraph"/>
        <w:numPr>
          <w:ilvl w:val="0"/>
          <w:numId w:val="2"/>
        </w:numPr>
        <w:spacing w:after="160" w:line="320"/>
      </w:pPr>
      <w:r>
        <w:rPr>
          <w:b/>
          <w:bCs/>
          <w:color w:val="1E7A34"/>
          <w:sz w:val="22"/>
          <w:szCs w:val="22"/>
        </w:rPr>
        <w:t xml:space="preserve">[MODERATE -- RESOLVED] </w:t>
      </w:r>
      <w:r>
        <w:rPr>
          <w:sz w:val="22"/>
          <w:szCs w:val="22"/>
        </w:rPr>
        <w:t xml:space="preserve">The Date et al. (2025) comparison in Table 3 mixes algorithm families. It's flagged with a footnote, which is good practice, but the Discussion text's phrase 'lending some cross-method support to that specific result' risks reading as more conclusive than the underlying comparison supports, given the adiabatic/annealing approach is architecturally unrelated to the gate-based fidelity kernel used everywhere else in the paper. Consider softening this sentence or moving the comparison to a clearly separated 'exploratory' subsection. See Response to Review above.</w:t>
      </w:r>
    </w:p>
    <w:p>
      <w:pPr>
        <w:pStyle w:val="ListParagraph"/>
        <w:numPr>
          <w:ilvl w:val="0"/>
          <w:numId w:val="2"/>
        </w:numPr>
        <w:spacing w:after="160" w:line="320"/>
      </w:pPr>
      <w:r>
        <w:rPr>
          <w:b/>
          <w:bCs/>
          <w:color w:val="1E7A34"/>
          <w:sz w:val="22"/>
          <w:szCs w:val="22"/>
        </w:rPr>
        <w:t xml:space="preserve">[MODERATE -- RESOLVED] </w:t>
      </w:r>
      <w:r>
        <w:rPr>
          <w:sz w:val="22"/>
          <w:szCs w:val="22"/>
        </w:rPr>
        <w:t xml:space="preserve">No justification is given for the specific scale choices: n=150 sample cap, 4 PCA components/qubits, 5x5 repeated CV, and 5 seeds. A statistically-rigor-focused paper is a natural target for a reviewer to ask 'why these numbers and not more,' e.g. a brief power analysis or at least an explicit acknowledgment that these were chosen for computational tractability on a classical simulator, with a note on how results might change at larger sample sizes or qubit counts. A new Section 3.8 (Computational Scale) now states explicitly that these choices were driven by simulator cost rather than a formal power analysis, and frames the reported pattern as established at this scale rather than assumed to generalize to larger sample sizes or qubit counts.</w:t>
      </w:r>
    </w:p>
    <w:p>
      <w:pPr>
        <w:pStyle w:val="ListParagraph"/>
        <w:numPr>
          <w:ilvl w:val="0"/>
          <w:numId w:val="2"/>
        </w:numPr>
        <w:spacing w:after="160" w:line="320"/>
      </w:pPr>
      <w:r>
        <w:rPr>
          <w:b/>
          <w:bCs/>
          <w:color w:val="1E7A34"/>
          <w:sz w:val="22"/>
          <w:szCs w:val="22"/>
        </w:rPr>
        <w:t xml:space="preserve">[MODERATE -- RESOLVED] </w:t>
      </w:r>
      <w:r>
        <w:rPr>
          <w:sz w:val="22"/>
          <w:szCs w:val="22"/>
        </w:rPr>
        <w:t xml:space="preserve">Multiple-comparison correction scope isn't stated precisely in the manuscript text. Section 3.4 says Holm-Bonferroni is applied 'across all comparisons in a given run' but doesn't specify whether that means the 12 dataset-encoding pairs within one seed, or all 60 seed x dataset x encoding results pooled together (the latter is what the underlying code does). State this explicitly and justify the choice, since it affects how conservative the correction is. See Response to Review above.</w:t>
      </w:r>
    </w:p>
    <w:p>
      <w:pPr>
        <w:pStyle w:val="Heading1"/>
        <w:spacing w:after="140" w:before="320"/>
      </w:pPr>
      <w:r>
        <w:rPr>
          <w:b/>
          <w:bCs/>
          <w:color w:val="1F4E78"/>
          <w:sz w:val="28"/>
          <w:szCs w:val="28"/>
        </w:rPr>
        <w:t xml:space="preserve">Minor / Editorial</w:t>
      </w:r>
    </w:p>
    <w:p>
      <w:pPr>
        <w:pStyle w:val="ListParagraph"/>
        <w:numPr>
          <w:ilvl w:val="0"/>
          <w:numId w:val="2"/>
        </w:numPr>
        <w:spacing w:after="160" w:line="320"/>
      </w:pPr>
      <w:r>
        <w:rPr>
          <w:b/>
          <w:bCs/>
          <w:color w:val="B7862C"/>
          <w:sz w:val="22"/>
          <w:szCs w:val="22"/>
        </w:rPr>
        <w:t xml:space="preserve">[MINOR -- OPEN (author action)] </w:t>
      </w:r>
      <w:r>
        <w:rPr>
          <w:sz w:val="22"/>
          <w:szCs w:val="22"/>
        </w:rPr>
        <w:t xml:space="preserve">Author affiliation is a placeholder ("[Affiliation to be added]") -- fix before submission. This requires the author's own information and cannot be resolved generically.</w:t>
      </w:r>
    </w:p>
    <w:p>
      <w:pPr>
        <w:pStyle w:val="ListParagraph"/>
        <w:numPr>
          <w:ilvl w:val="0"/>
          <w:numId w:val="2"/>
        </w:numPr>
        <w:spacing w:after="160" w:line="320"/>
      </w:pPr>
      <w:r>
        <w:rPr>
          <w:b/>
          <w:bCs/>
          <w:color w:val="B7862C"/>
          <w:sz w:val="22"/>
          <w:szCs w:val="22"/>
        </w:rPr>
        <w:t xml:space="preserve">[MINOR -- OPEN (depends on target journal)] </w:t>
      </w:r>
      <w:r>
        <w:rPr>
          <w:sz w:val="22"/>
          <w:szCs w:val="22"/>
        </w:rPr>
        <w:t xml:space="preserve">Reference formatting is a loose APA-style approximation; match it exactly to the target journal's required style once a specific venue is chosen (several journals in the earlier venue list use a numbered Vancouver/IEEE style instead). The Funding statement (end matter) is similarly a placeholder pending author/institutional details.</w:t>
      </w:r>
    </w:p>
    <w:p>
      <w:pPr>
        <w:pStyle w:val="ListParagraph"/>
        <w:numPr>
          <w:ilvl w:val="0"/>
          <w:numId w:val="2"/>
        </w:numPr>
        <w:spacing w:after="160" w:line="320"/>
      </w:pPr>
      <w:r>
        <w:rPr>
          <w:b/>
          <w:bCs/>
          <w:color w:val="1E7A34"/>
          <w:sz w:val="22"/>
          <w:szCs w:val="22"/>
        </w:rPr>
        <w:t xml:space="preserve">[MINOR -- RESOLVED] </w:t>
      </w:r>
      <w:r>
        <w:rPr>
          <w:sz w:val="22"/>
          <w:szCs w:val="22"/>
        </w:rPr>
        <w:t xml:space="preserve">The Related Work section engages only the four directly-compared papers in depth; consider briefly addressing the dequantization literature (e.g., Tang's classical-algorithm results) since it offers a competing, non-barren-plateau explanation for modest or absent quantum advantage and a reviewer familiar with the theory side may ask why it isn't discussed. A new paragraph in Section 2 now covers this, citing Tang (2019, 2021) and explicitly noting the study's protocol cannot distinguish between the two explanations.</w:t>
      </w:r>
    </w:p>
    <w:p>
      <w:pPr>
        <w:pStyle w:val="ListParagraph"/>
        <w:numPr>
          <w:ilvl w:val="0"/>
          <w:numId w:val="2"/>
        </w:numPr>
        <w:spacing w:after="160" w:line="320"/>
      </w:pPr>
      <w:r>
        <w:rPr>
          <w:b/>
          <w:bCs/>
          <w:color w:val="1E7A34"/>
          <w:sz w:val="22"/>
          <w:szCs w:val="22"/>
        </w:rPr>
        <w:t xml:space="preserve">[MINOR -- RESOLVED] </w:t>
      </w:r>
      <w:r>
        <w:rPr>
          <w:sz w:val="22"/>
          <w:szCs w:val="22"/>
        </w:rPr>
        <w:t xml:space="preserve">The Discussion's claim that results 'either weakened...or reversed' every literature comparison is slightly imprecise for the three Iris/ZZ rows, which landed as 'inconclusive' (seed-sensitive) rather than cleanly weakened or reversed -- tighten the wording to distinguish these cases. Section 5's wording now reads 'weakened...into statistical non-significance or inconclusiveness, or...reversed,' correctly covering the Iris/ZZ cases.</w:t>
      </w:r>
    </w:p>
    <w:p>
      <w:pPr>
        <w:pStyle w:val="ListParagraph"/>
        <w:numPr>
          <w:ilvl w:val="0"/>
          <w:numId w:val="2"/>
        </w:numPr>
        <w:spacing w:after="160" w:line="320"/>
      </w:pPr>
      <w:r>
        <w:rPr>
          <w:b/>
          <w:bCs/>
          <w:color w:val="1E7A34"/>
          <w:sz w:val="22"/>
          <w:szCs w:val="22"/>
        </w:rPr>
        <w:t xml:space="preserve">[MINOR -- RESOLVED] </w:t>
      </w:r>
      <w:r>
        <w:rPr>
          <w:sz w:val="22"/>
          <w:szCs w:val="22"/>
        </w:rPr>
        <w:t xml:space="preserve">Only RBF-kernel classical SVM is used as the baseline; several audited papers in the field also test polynomial and linear kernels. Consider adding these as secondary classical baselines, or explicitly justify RBF-only as the standard choice. Section 3.4 now explicitly justifies the RBF-only choice (consistency with the reviewed literature's baseline and controlling the multiple-comparison correction's severity) and flags a multi-kernel sweep as a reasonable future extension.</w:t>
      </w:r>
    </w:p>
    <w:p>
      <w:pPr>
        <w:pStyle w:val="Heading1"/>
        <w:spacing w:after="140" w:before="320"/>
      </w:pPr>
      <w:r>
        <w:rPr>
          <w:b/>
          <w:bCs/>
          <w:color w:val="1F4E78"/>
          <w:sz w:val="28"/>
          <w:szCs w:val="28"/>
        </w:rPr>
        <w:t xml:space="preserve">Prioritized Action 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4E78" w:val="clear"/>
            <w:tcMar>
              <w:top w:type="dxa" w:w="60"/>
              <w:left w:type="dxa" w:w="90"/>
              <w:bottom w:type="dxa" w:w="60"/>
              <w:right w:type="dxa" w:w="90"/>
            </w:tcMar>
            <w:vAlign w:val="center"/>
          </w:tcPr>
          <w:p>
            <w:pPr>
              <w:jc w:val="center"/>
            </w:pPr>
            <w:r>
              <w:rPr>
                <w:b/>
                <w:bCs/>
                <w:color w:val="FFFFFF"/>
                <w:sz w:val="19"/>
                <w:szCs w:val="19"/>
              </w:rPr>
              <w:t xml:space="preserve">Priority</w:t>
            </w:r>
          </w:p>
        </w:tc>
        <w:tc>
          <w:tcPr>
            <w:tcW w:type="dxa" w:w="6600"/>
            <w:shd w:fill="1F4E78" w:val="clear"/>
            <w:tcMar>
              <w:top w:type="dxa" w:w="60"/>
              <w:left w:type="dxa" w:w="90"/>
              <w:bottom w:type="dxa" w:w="60"/>
              <w:right w:type="dxa" w:w="90"/>
            </w:tcMar>
            <w:vAlign w:val="center"/>
          </w:tcPr>
          <w:p>
            <w:pPr>
              <w:jc w:val="center"/>
            </w:pPr>
            <w:r>
              <w:rPr>
                <w:b/>
                <w:bCs/>
                <w:color w:val="FFFFFF"/>
                <w:sz w:val="19"/>
                <w:szCs w:val="19"/>
              </w:rPr>
              <w:t xml:space="preserve">Action</w:t>
            </w:r>
          </w:p>
        </w:tc>
        <w:tc>
          <w:tcPr>
            <w:tcW w:type="dxa" w:w="1600"/>
            <w:shd w:fill="1F4E78" w:val="clear"/>
            <w:tcMar>
              <w:top w:type="dxa" w:w="60"/>
              <w:left w:type="dxa" w:w="90"/>
              <w:bottom w:type="dxa" w:w="60"/>
              <w:right w:type="dxa" w:w="90"/>
            </w:tcMar>
            <w:vAlign w:val="center"/>
          </w:tcPr>
          <w:p>
            <w:pPr>
              <w:jc w:val="center"/>
            </w:pPr>
            <w:r>
              <w:rPr>
                <w:b/>
                <w:bCs/>
                <w:color w:val="FFFFFF"/>
                <w:sz w:val="19"/>
                <w:szCs w:val="19"/>
              </w:rPr>
              <w:t xml:space="preserve">Effort</w:t>
            </w:r>
          </w:p>
        </w:tc>
      </w:tr>
      <w:tr>
        <w:tc>
          <w:tcPr>
            <w:tcW w:type="dxa" w:w="1200"/>
            <w:tcMar>
              <w:top w:type="dxa" w:w="60"/>
              <w:left w:type="dxa" w:w="90"/>
              <w:bottom w:type="dxa" w:w="60"/>
              <w:right w:type="dxa" w:w="90"/>
            </w:tcMar>
            <w:vAlign w:val="center"/>
          </w:tcPr>
          <w:p>
            <w:pPr>
              <w:jc w:val="center"/>
            </w:pPr>
            <w:r>
              <w:rPr>
                <w:b w:val="false"/>
                <w:bCs w:val="false"/>
                <w:color w:val="000000"/>
                <w:sz w:val="19"/>
                <w:szCs w:val="19"/>
              </w:rPr>
              <w:t xml:space="preserve">1</w:t>
            </w:r>
          </w:p>
        </w:tc>
        <w:tc>
          <w:tcPr>
            <w:tcW w:type="dxa" w:w="6600"/>
            <w:tcMar>
              <w:top w:type="dxa" w:w="60"/>
              <w:left w:type="dxa" w:w="90"/>
              <w:bottom w:type="dxa" w:w="60"/>
              <w:right w:type="dxa" w:w="90"/>
            </w:tcMar>
            <w:vAlign w:val="center"/>
          </w:tcPr>
          <w:p>
            <w:pPr>
              <w:jc w:val="left"/>
            </w:pPr>
            <w:r>
              <w:rPr>
                <w:b w:val="false"/>
                <w:bCs w:val="false"/>
                <w:color w:val="000000"/>
                <w:sz w:val="19"/>
                <w:szCs w:val="19"/>
              </w:rPr>
              <w:t xml:space="preserve">DONE -- Nested the architecture search inside every outer fold; verified it changed a reported verdict (Breast Cancer/ZZ).</w:t>
            </w:r>
          </w:p>
        </w:tc>
        <w:tc>
          <w:tcPr>
            <w:tcW w:type="dxa" w:w="1600"/>
            <w:tcMar>
              <w:top w:type="dxa" w:w="60"/>
              <w:left w:type="dxa" w:w="90"/>
              <w:bottom w:type="dxa" w:w="60"/>
              <w:right w:type="dxa" w:w="90"/>
            </w:tcMar>
            <w:vAlign w:val="center"/>
          </w:tcPr>
          <w:p>
            <w:pPr>
              <w:jc w:val="left"/>
            </w:pPr>
            <w:r>
              <w:rPr>
                <w:b w:val="false"/>
                <w:bCs w:val="false"/>
                <w:color w:val="000000"/>
                <w:sz w:val="19"/>
                <w:szCs w:val="19"/>
              </w:rPr>
              <w:t xml:space="preserve">Medium</w:t>
            </w:r>
          </w:p>
        </w:tc>
      </w:tr>
      <w:tr>
        <w:tc>
          <w:tcPr>
            <w:tcW w:type="dxa" w:w="1200"/>
            <w:shd w:fill="F2F6FA" w:val="clear"/>
            <w:tcMar>
              <w:top w:type="dxa" w:w="60"/>
              <w:left w:type="dxa" w:w="90"/>
              <w:bottom w:type="dxa" w:w="60"/>
              <w:right w:type="dxa" w:w="90"/>
            </w:tcMar>
            <w:vAlign w:val="center"/>
          </w:tcPr>
          <w:p>
            <w:pPr>
              <w:jc w:val="center"/>
            </w:pPr>
            <w:r>
              <w:rPr>
                <w:b w:val="false"/>
                <w:bCs w:val="false"/>
                <w:color w:val="000000"/>
                <w:sz w:val="19"/>
                <w:szCs w:val="19"/>
              </w:rPr>
              <w:t xml:space="preserve">2</w:t>
            </w:r>
          </w:p>
        </w:tc>
        <w:tc>
          <w:tcPr>
            <w:tcW w:type="dxa" w:w="6600"/>
            <w:shd w:fill="F2F6FA" w:val="clear"/>
            <w:tcMar>
              <w:top w:type="dxa" w:w="60"/>
              <w:left w:type="dxa" w:w="90"/>
              <w:bottom w:type="dxa" w:w="60"/>
              <w:right w:type="dxa" w:w="90"/>
            </w:tcMar>
            <w:vAlign w:val="center"/>
          </w:tcPr>
          <w:p>
            <w:pPr>
              <w:jc w:val="left"/>
            </w:pPr>
            <w:r>
              <w:rPr>
                <w:b w:val="false"/>
                <w:bCs w:val="false"/>
                <w:color w:val="000000"/>
                <w:sz w:val="19"/>
                <w:szCs w:val="19"/>
              </w:rPr>
              <w:t xml:space="preserve">DONE -- Split the coverage table into 'genuinely restricted' (20%) vs 'publicly available but not fetched here' (30%); both rates now reported throughout.</w:t>
            </w:r>
          </w:p>
        </w:tc>
        <w:tc>
          <w:tcPr>
            <w:tcW w:type="dxa" w:w="1600"/>
            <w:shd w:fill="F2F6FA" w:val="clear"/>
            <w:tcMar>
              <w:top w:type="dxa" w:w="60"/>
              <w:left w:type="dxa" w:w="90"/>
              <w:bottom w:type="dxa" w:w="60"/>
              <w:right w:type="dxa" w:w="90"/>
            </w:tcMar>
            <w:vAlign w:val="center"/>
          </w:tcPr>
          <w:p>
            <w:pPr>
              <w:jc w:val="left"/>
            </w:pPr>
            <w:r>
              <w:rPr>
                <w:b w:val="false"/>
                <w:bCs w:val="false"/>
                <w:color w:val="000000"/>
                <w:sz w:val="19"/>
                <w:szCs w:val="19"/>
              </w:rPr>
              <w:t xml:space="preserve">Low</w:t>
            </w:r>
          </w:p>
        </w:tc>
      </w:tr>
      <w:tr>
        <w:tc>
          <w:tcPr>
            <w:tcW w:type="dxa" w:w="1200"/>
            <w:tcMar>
              <w:top w:type="dxa" w:w="60"/>
              <w:left w:type="dxa" w:w="90"/>
              <w:bottom w:type="dxa" w:w="60"/>
              <w:right w:type="dxa" w:w="90"/>
            </w:tcMar>
            <w:vAlign w:val="center"/>
          </w:tcPr>
          <w:p>
            <w:pPr>
              <w:jc w:val="center"/>
            </w:pPr>
            <w:r>
              <w:rPr>
                <w:b w:val="false"/>
                <w:bCs w:val="false"/>
                <w:color w:val="000000"/>
                <w:sz w:val="19"/>
                <w:szCs w:val="19"/>
              </w:rPr>
              <w:t xml:space="preserve">3</w:t>
            </w:r>
          </w:p>
        </w:tc>
        <w:tc>
          <w:tcPr>
            <w:tcW w:type="dxa" w:w="6600"/>
            <w:tcMar>
              <w:top w:type="dxa" w:w="60"/>
              <w:left w:type="dxa" w:w="90"/>
              <w:bottom w:type="dxa" w:w="60"/>
              <w:right w:type="dxa" w:w="90"/>
            </w:tcMar>
            <w:vAlign w:val="center"/>
          </w:tcPr>
          <w:p>
            <w:pPr>
              <w:jc w:val="left"/>
            </w:pPr>
            <w:r>
              <w:rPr>
                <w:b w:val="false"/>
                <w:bCs w:val="false"/>
                <w:color w:val="000000"/>
                <w:sz w:val="19"/>
                <w:szCs w:val="19"/>
              </w:rPr>
              <w:t xml:space="preserve">DONE -- Added Data Availability, Code Availability, Ethics, and Conflict of Interest sections; Funding left as a placeholder for the author.</w:t>
            </w:r>
          </w:p>
        </w:tc>
        <w:tc>
          <w:tcPr>
            <w:tcW w:type="dxa" w:w="1600"/>
            <w:tcMar>
              <w:top w:type="dxa" w:w="60"/>
              <w:left w:type="dxa" w:w="90"/>
              <w:bottom w:type="dxa" w:w="60"/>
              <w:right w:type="dxa" w:w="90"/>
            </w:tcMar>
            <w:vAlign w:val="center"/>
          </w:tcPr>
          <w:p>
            <w:pPr>
              <w:jc w:val="left"/>
            </w:pPr>
            <w:r>
              <w:rPr>
                <w:b w:val="false"/>
                <w:bCs w:val="false"/>
                <w:color w:val="000000"/>
                <w:sz w:val="19"/>
                <w:szCs w:val="19"/>
              </w:rPr>
              <w:t xml:space="preserve">Low</w:t>
            </w:r>
          </w:p>
        </w:tc>
      </w:tr>
      <w:tr>
        <w:tc>
          <w:tcPr>
            <w:tcW w:type="dxa" w:w="1200"/>
            <w:shd w:fill="F2F6FA" w:val="clear"/>
            <w:tcMar>
              <w:top w:type="dxa" w:w="60"/>
              <w:left w:type="dxa" w:w="90"/>
              <w:bottom w:type="dxa" w:w="60"/>
              <w:right w:type="dxa" w:w="90"/>
            </w:tcMar>
            <w:vAlign w:val="center"/>
          </w:tcPr>
          <w:p>
            <w:pPr>
              <w:jc w:val="center"/>
            </w:pPr>
            <w:r>
              <w:rPr>
                <w:b w:val="false"/>
                <w:bCs w:val="false"/>
                <w:color w:val="000000"/>
                <w:sz w:val="19"/>
                <w:szCs w:val="19"/>
              </w:rPr>
              <w:t xml:space="preserve">4</w:t>
            </w:r>
          </w:p>
        </w:tc>
        <w:tc>
          <w:tcPr>
            <w:tcW w:type="dxa" w:w="6600"/>
            <w:shd w:fill="F2F6FA" w:val="clear"/>
            <w:tcMar>
              <w:top w:type="dxa" w:w="60"/>
              <w:left w:type="dxa" w:w="90"/>
              <w:bottom w:type="dxa" w:w="60"/>
              <w:right w:type="dxa" w:w="90"/>
            </w:tcMar>
            <w:vAlign w:val="center"/>
          </w:tcPr>
          <w:p>
            <w:pPr>
              <w:jc w:val="left"/>
            </w:pPr>
            <w:r>
              <w:rPr>
                <w:b w:val="false"/>
                <w:bCs w:val="false"/>
                <w:color w:val="000000"/>
                <w:sz w:val="19"/>
                <w:szCs w:val="19"/>
              </w:rPr>
              <w:t xml:space="preserve">DONE -- Added balanced accuracy alongside plain accuracy for Breast Cancer and Wine (Section 4.2b); no verdicts changed.</w:t>
            </w:r>
          </w:p>
        </w:tc>
        <w:tc>
          <w:tcPr>
            <w:tcW w:type="dxa" w:w="1600"/>
            <w:shd w:fill="F2F6FA" w:val="clear"/>
            <w:tcMar>
              <w:top w:type="dxa" w:w="60"/>
              <w:left w:type="dxa" w:w="90"/>
              <w:bottom w:type="dxa" w:w="60"/>
              <w:right w:type="dxa" w:w="90"/>
            </w:tcMar>
            <w:vAlign w:val="center"/>
          </w:tcPr>
          <w:p>
            <w:pPr>
              <w:jc w:val="left"/>
            </w:pPr>
            <w:r>
              <w:rPr>
                <w:b w:val="false"/>
                <w:bCs w:val="false"/>
                <w:color w:val="000000"/>
                <w:sz w:val="19"/>
                <w:szCs w:val="19"/>
              </w:rPr>
              <w:t xml:space="preserve">Low-Medium</w:t>
            </w:r>
          </w:p>
        </w:tc>
      </w:tr>
      <w:tr>
        <w:tc>
          <w:tcPr>
            <w:tcW w:type="dxa" w:w="1200"/>
            <w:tcMar>
              <w:top w:type="dxa" w:w="60"/>
              <w:left w:type="dxa" w:w="90"/>
              <w:bottom w:type="dxa" w:w="60"/>
              <w:right w:type="dxa" w:w="90"/>
            </w:tcMar>
            <w:vAlign w:val="center"/>
          </w:tcPr>
          <w:p>
            <w:pPr>
              <w:jc w:val="center"/>
            </w:pPr>
            <w:r>
              <w:rPr>
                <w:b w:val="false"/>
                <w:bCs w:val="false"/>
                <w:color w:val="000000"/>
                <w:sz w:val="19"/>
                <w:szCs w:val="19"/>
              </w:rPr>
              <w:t xml:space="preserve">5</w:t>
            </w:r>
          </w:p>
        </w:tc>
        <w:tc>
          <w:tcPr>
            <w:tcW w:type="dxa" w:w="6600"/>
            <w:tcMar>
              <w:top w:type="dxa" w:w="60"/>
              <w:left w:type="dxa" w:w="90"/>
              <w:bottom w:type="dxa" w:w="60"/>
              <w:right w:type="dxa" w:w="90"/>
            </w:tcMar>
            <w:vAlign w:val="center"/>
          </w:tcPr>
          <w:p>
            <w:pPr>
              <w:jc w:val="left"/>
            </w:pPr>
            <w:r>
              <w:rPr>
                <w:b w:val="false"/>
                <w:bCs w:val="false"/>
                <w:color w:val="000000"/>
                <w:sz w:val="19"/>
                <w:szCs w:val="19"/>
              </w:rPr>
              <w:t xml:space="preserve">DONE -- Added justification for Cohen's d on bounded accuracy metrics in Section 3.4; raw mean-difference/CI now framed as primary.</w:t>
            </w:r>
          </w:p>
        </w:tc>
        <w:tc>
          <w:tcPr>
            <w:tcW w:type="dxa" w:w="1600"/>
            <w:tcMar>
              <w:top w:type="dxa" w:w="60"/>
              <w:left w:type="dxa" w:w="90"/>
              <w:bottom w:type="dxa" w:w="60"/>
              <w:right w:type="dxa" w:w="90"/>
            </w:tcMar>
            <w:vAlign w:val="center"/>
          </w:tcPr>
          <w:p>
            <w:pPr>
              <w:jc w:val="left"/>
            </w:pPr>
            <w:r>
              <w:rPr>
                <w:b w:val="false"/>
                <w:bCs w:val="false"/>
                <w:color w:val="000000"/>
                <w:sz w:val="19"/>
                <w:szCs w:val="19"/>
              </w:rPr>
              <w:t xml:space="preserve">Low</w:t>
            </w:r>
          </w:p>
        </w:tc>
      </w:tr>
      <w:tr>
        <w:tc>
          <w:tcPr>
            <w:tcW w:type="dxa" w:w="1200"/>
            <w:shd w:fill="F2F6FA" w:val="clear"/>
            <w:tcMar>
              <w:top w:type="dxa" w:w="60"/>
              <w:left w:type="dxa" w:w="90"/>
              <w:bottom w:type="dxa" w:w="60"/>
              <w:right w:type="dxa" w:w="90"/>
            </w:tcMar>
            <w:vAlign w:val="center"/>
          </w:tcPr>
          <w:p>
            <w:pPr>
              <w:jc w:val="center"/>
            </w:pPr>
            <w:r>
              <w:rPr>
                <w:b w:val="false"/>
                <w:bCs w:val="false"/>
                <w:color w:val="000000"/>
                <w:sz w:val="19"/>
                <w:szCs w:val="19"/>
              </w:rPr>
              <w:t xml:space="preserve">6</w:t>
            </w:r>
          </w:p>
        </w:tc>
        <w:tc>
          <w:tcPr>
            <w:tcW w:type="dxa" w:w="6600"/>
            <w:shd w:fill="F2F6FA" w:val="clear"/>
            <w:tcMar>
              <w:top w:type="dxa" w:w="60"/>
              <w:left w:type="dxa" w:w="90"/>
              <w:bottom w:type="dxa" w:w="60"/>
              <w:right w:type="dxa" w:w="90"/>
            </w:tcMar>
            <w:vAlign w:val="center"/>
          </w:tcPr>
          <w:p>
            <w:pPr>
              <w:jc w:val="left"/>
            </w:pPr>
            <w:r>
              <w:rPr>
                <w:b w:val="false"/>
                <w:bCs w:val="false"/>
                <w:color w:val="000000"/>
                <w:sz w:val="19"/>
                <w:szCs w:val="19"/>
              </w:rPr>
              <w:t xml:space="preserve">DONE -- Softened the Date et al. cross-method comparison in Section 4.3 to note this study's own result there is seed-sensitive.</w:t>
            </w:r>
          </w:p>
        </w:tc>
        <w:tc>
          <w:tcPr>
            <w:tcW w:type="dxa" w:w="1600"/>
            <w:shd w:fill="F2F6FA" w:val="clear"/>
            <w:tcMar>
              <w:top w:type="dxa" w:w="60"/>
              <w:left w:type="dxa" w:w="90"/>
              <w:bottom w:type="dxa" w:w="60"/>
              <w:right w:type="dxa" w:w="90"/>
            </w:tcMar>
            <w:vAlign w:val="center"/>
          </w:tcPr>
          <w:p>
            <w:pPr>
              <w:jc w:val="left"/>
            </w:pPr>
            <w:r>
              <w:rPr>
                <w:b w:val="false"/>
                <w:bCs w:val="false"/>
                <w:color w:val="000000"/>
                <w:sz w:val="19"/>
                <w:szCs w:val="19"/>
              </w:rPr>
              <w:t xml:space="preserve">Low</w:t>
            </w:r>
          </w:p>
        </w:tc>
      </w:tr>
      <w:tr>
        <w:tc>
          <w:tcPr>
            <w:tcW w:type="dxa" w:w="1200"/>
            <w:tcMar>
              <w:top w:type="dxa" w:w="60"/>
              <w:left w:type="dxa" w:w="90"/>
              <w:bottom w:type="dxa" w:w="60"/>
              <w:right w:type="dxa" w:w="90"/>
            </w:tcMar>
            <w:vAlign w:val="center"/>
          </w:tcPr>
          <w:p>
            <w:pPr>
              <w:jc w:val="center"/>
            </w:pPr>
            <w:r>
              <w:rPr>
                <w:b w:val="false"/>
                <w:bCs w:val="false"/>
                <w:color w:val="000000"/>
                <w:sz w:val="19"/>
                <w:szCs w:val="19"/>
              </w:rPr>
              <w:t xml:space="preserve">7</w:t>
            </w:r>
          </w:p>
        </w:tc>
        <w:tc>
          <w:tcPr>
            <w:tcW w:type="dxa" w:w="6600"/>
            <w:tcMar>
              <w:top w:type="dxa" w:w="60"/>
              <w:left w:type="dxa" w:w="90"/>
              <w:bottom w:type="dxa" w:w="60"/>
              <w:right w:type="dxa" w:w="90"/>
            </w:tcMar>
            <w:vAlign w:val="center"/>
          </w:tcPr>
          <w:p>
            <w:pPr>
              <w:jc w:val="left"/>
            </w:pPr>
            <w:r>
              <w:rPr>
                <w:b w:val="false"/>
                <w:bCs w:val="false"/>
                <w:color w:val="000000"/>
                <w:sz w:val="19"/>
                <w:szCs w:val="19"/>
              </w:rPr>
              <w:t xml:space="preserve">DONE -- Section 3.4 now states the correction is applied pooled across all 60 results, not per-seed.</w:t>
            </w:r>
          </w:p>
        </w:tc>
        <w:tc>
          <w:tcPr>
            <w:tcW w:type="dxa" w:w="1600"/>
            <w:tcMar>
              <w:top w:type="dxa" w:w="60"/>
              <w:left w:type="dxa" w:w="90"/>
              <w:bottom w:type="dxa" w:w="60"/>
              <w:right w:type="dxa" w:w="90"/>
            </w:tcMar>
            <w:vAlign w:val="center"/>
          </w:tcPr>
          <w:p>
            <w:pPr>
              <w:jc w:val="left"/>
            </w:pPr>
            <w:r>
              <w:rPr>
                <w:b w:val="false"/>
                <w:bCs w:val="false"/>
                <w:color w:val="000000"/>
                <w:sz w:val="19"/>
                <w:szCs w:val="19"/>
              </w:rPr>
              <w:t xml:space="preserve">Low</w:t>
            </w:r>
          </w:p>
        </w:tc>
      </w:tr>
      <w:tr>
        <w:tc>
          <w:tcPr>
            <w:tcW w:type="dxa" w:w="1200"/>
            <w:shd w:fill="F2F6FA" w:val="clear"/>
            <w:tcMar>
              <w:top w:type="dxa" w:w="60"/>
              <w:left w:type="dxa" w:w="90"/>
              <w:bottom w:type="dxa" w:w="60"/>
              <w:right w:type="dxa" w:w="90"/>
            </w:tcMar>
            <w:vAlign w:val="center"/>
          </w:tcPr>
          <w:p>
            <w:pPr>
              <w:jc w:val="center"/>
            </w:pPr>
            <w:r>
              <w:rPr>
                <w:b w:val="false"/>
                <w:bCs w:val="false"/>
                <w:color w:val="000000"/>
                <w:sz w:val="19"/>
                <w:szCs w:val="19"/>
              </w:rPr>
              <w:t xml:space="preserve">8</w:t>
            </w:r>
          </w:p>
        </w:tc>
        <w:tc>
          <w:tcPr>
            <w:tcW w:type="dxa" w:w="6600"/>
            <w:shd w:fill="F2F6FA" w:val="clear"/>
            <w:tcMar>
              <w:top w:type="dxa" w:w="60"/>
              <w:left w:type="dxa" w:w="90"/>
              <w:bottom w:type="dxa" w:w="60"/>
              <w:right w:type="dxa" w:w="90"/>
            </w:tcMar>
            <w:vAlign w:val="center"/>
          </w:tcPr>
          <w:p>
            <w:pPr>
              <w:jc w:val="left"/>
            </w:pPr>
            <w:r>
              <w:rPr>
                <w:b w:val="false"/>
                <w:bCs w:val="false"/>
                <w:color w:val="000000"/>
                <w:sz w:val="19"/>
                <w:szCs w:val="19"/>
              </w:rPr>
              <w:t xml:space="preserve">DONE -- Added Section 3.8 (Computational Scale) justifying n=150, 4 qubits, 5x5 CV, 5 seeds as simulator-cost-driven choices.</w:t>
            </w:r>
          </w:p>
        </w:tc>
        <w:tc>
          <w:tcPr>
            <w:tcW w:type="dxa" w:w="1600"/>
            <w:shd w:fill="F2F6FA" w:val="clear"/>
            <w:tcMar>
              <w:top w:type="dxa" w:w="60"/>
              <w:left w:type="dxa" w:w="90"/>
              <w:bottom w:type="dxa" w:w="60"/>
              <w:right w:type="dxa" w:w="90"/>
            </w:tcMar>
            <w:vAlign w:val="center"/>
          </w:tcPr>
          <w:p>
            <w:pPr>
              <w:jc w:val="left"/>
            </w:pPr>
            <w:r>
              <w:rPr>
                <w:b w:val="false"/>
                <w:bCs w:val="false"/>
                <w:color w:val="000000"/>
                <w:sz w:val="19"/>
                <w:szCs w:val="19"/>
              </w:rPr>
              <w:t xml:space="preserve">Low</w:t>
            </w:r>
          </w:p>
        </w:tc>
      </w:tr>
      <w:tr>
        <w:tc>
          <w:tcPr>
            <w:tcW w:type="dxa" w:w="1200"/>
            <w:tcMar>
              <w:top w:type="dxa" w:w="60"/>
              <w:left w:type="dxa" w:w="90"/>
              <w:bottom w:type="dxa" w:w="60"/>
              <w:right w:type="dxa" w:w="90"/>
            </w:tcMar>
            <w:vAlign w:val="center"/>
          </w:tcPr>
          <w:p>
            <w:pPr>
              <w:jc w:val="center"/>
            </w:pPr>
            <w:r>
              <w:rPr>
                <w:b w:val="false"/>
                <w:bCs w:val="false"/>
                <w:color w:val="000000"/>
                <w:sz w:val="19"/>
                <w:szCs w:val="19"/>
              </w:rPr>
              <w:t xml:space="preserve">9</w:t>
            </w:r>
          </w:p>
        </w:tc>
        <w:tc>
          <w:tcPr>
            <w:tcW w:type="dxa" w:w="6600"/>
            <w:tcMar>
              <w:top w:type="dxa" w:w="60"/>
              <w:left w:type="dxa" w:w="90"/>
              <w:bottom w:type="dxa" w:w="60"/>
              <w:right w:type="dxa" w:w="90"/>
            </w:tcMar>
            <w:vAlign w:val="center"/>
          </w:tcPr>
          <w:p>
            <w:pPr>
              <w:jc w:val="left"/>
            </w:pPr>
            <w:r>
              <w:rPr>
                <w:b w:val="false"/>
                <w:bCs w:val="false"/>
                <w:color w:val="000000"/>
                <w:sz w:val="19"/>
                <w:szCs w:val="19"/>
              </w:rPr>
              <w:t xml:space="preserve">DONE -- Added dequantization-literature paragraph (Section 2), tightened Discussion wording on Iris/ZZ, justified RBF-only baseline (Section 3.4).</w:t>
            </w:r>
          </w:p>
        </w:tc>
        <w:tc>
          <w:tcPr>
            <w:tcW w:type="dxa" w:w="1600"/>
            <w:tcMar>
              <w:top w:type="dxa" w:w="60"/>
              <w:left w:type="dxa" w:w="90"/>
              <w:bottom w:type="dxa" w:w="60"/>
              <w:right w:type="dxa" w:w="90"/>
            </w:tcMar>
            <w:vAlign w:val="center"/>
          </w:tcPr>
          <w:p>
            <w:pPr>
              <w:jc w:val="left"/>
            </w:pPr>
            <w:r>
              <w:rPr>
                <w:b w:val="false"/>
                <w:bCs w:val="false"/>
                <w:color w:val="000000"/>
                <w:sz w:val="19"/>
                <w:szCs w:val="19"/>
              </w:rPr>
              <w:t xml:space="preserve">Low</w:t>
            </w:r>
          </w:p>
        </w:tc>
      </w:tr>
      <w:tr>
        <w:tc>
          <w:tcPr>
            <w:tcW w:type="dxa" w:w="1200"/>
            <w:shd w:fill="F2F6FA" w:val="clear"/>
            <w:tcMar>
              <w:top w:type="dxa" w:w="60"/>
              <w:left w:type="dxa" w:w="90"/>
              <w:bottom w:type="dxa" w:w="60"/>
              <w:right w:type="dxa" w:w="90"/>
            </w:tcMar>
            <w:vAlign w:val="center"/>
          </w:tcPr>
          <w:p>
            <w:pPr>
              <w:jc w:val="center"/>
            </w:pPr>
            <w:r>
              <w:rPr>
                <w:b w:val="false"/>
                <w:bCs w:val="false"/>
                <w:color w:val="000000"/>
                <w:sz w:val="19"/>
                <w:szCs w:val="19"/>
              </w:rPr>
              <w:t xml:space="preserve">10</w:t>
            </w:r>
          </w:p>
        </w:tc>
        <w:tc>
          <w:tcPr>
            <w:tcW w:type="dxa" w:w="6600"/>
            <w:shd w:fill="F2F6FA" w:val="clear"/>
            <w:tcMar>
              <w:top w:type="dxa" w:w="60"/>
              <w:left w:type="dxa" w:w="90"/>
              <w:bottom w:type="dxa" w:w="60"/>
              <w:right w:type="dxa" w:w="90"/>
            </w:tcMar>
            <w:vAlign w:val="center"/>
          </w:tcPr>
          <w:p>
            <w:pPr>
              <w:jc w:val="left"/>
            </w:pPr>
            <w:r>
              <w:rPr>
                <w:b w:val="false"/>
                <w:bCs w:val="false"/>
                <w:color w:val="000000"/>
                <w:sz w:val="19"/>
                <w:szCs w:val="19"/>
              </w:rPr>
              <w:t xml:space="preserve">OPEN (author action) -- Fix affiliation placeholder, complete Funding statement, and match citation style once a target journal is chosen.</w:t>
            </w:r>
          </w:p>
        </w:tc>
        <w:tc>
          <w:tcPr>
            <w:tcW w:type="dxa" w:w="1600"/>
            <w:shd w:fill="F2F6FA" w:val="clear"/>
            <w:tcMar>
              <w:top w:type="dxa" w:w="60"/>
              <w:left w:type="dxa" w:w="90"/>
              <w:bottom w:type="dxa" w:w="60"/>
              <w:right w:type="dxa" w:w="90"/>
            </w:tcMar>
            <w:vAlign w:val="center"/>
          </w:tcPr>
          <w:p>
            <w:pPr>
              <w:jc w:val="left"/>
            </w:pPr>
            <w:r>
              <w:rPr>
                <w:b w:val="false"/>
                <w:bCs w:val="false"/>
                <w:color w:val="000000"/>
                <w:sz w:val="19"/>
                <w:szCs w:val="19"/>
              </w:rPr>
              <w:t xml:space="preserve">Low</w:t>
            </w:r>
          </w:p>
        </w:tc>
      </w:tr>
      <w:tr>
        <w:tc>
          <w:tcPr>
            <w:tcW w:type="dxa" w:w="1200"/>
            <w:tcMar>
              <w:top w:type="dxa" w:w="60"/>
              <w:left w:type="dxa" w:w="90"/>
              <w:bottom w:type="dxa" w:w="60"/>
              <w:right w:type="dxa" w:w="90"/>
            </w:tcMar>
            <w:vAlign w:val="center"/>
          </w:tcPr>
          <w:p>
            <w:pPr>
              <w:jc w:val="center"/>
            </w:pPr>
            <w:r>
              <w:rPr>
                <w:b w:val="false"/>
                <w:bCs w:val="false"/>
                <w:color w:val="000000"/>
                <w:sz w:val="19"/>
                <w:szCs w:val="19"/>
              </w:rPr>
              <w:t xml:space="preserve">11</w:t>
            </w:r>
          </w:p>
        </w:tc>
        <w:tc>
          <w:tcPr>
            <w:tcW w:type="dxa" w:w="6600"/>
            <w:tcMar>
              <w:top w:type="dxa" w:w="60"/>
              <w:left w:type="dxa" w:w="90"/>
              <w:bottom w:type="dxa" w:w="60"/>
              <w:right w:type="dxa" w:w="90"/>
            </w:tcMar>
            <w:vAlign w:val="center"/>
          </w:tcPr>
          <w:p>
            <w:pPr>
              <w:jc w:val="left"/>
            </w:pPr>
            <w:r>
              <w:rPr>
                <w:b w:val="false"/>
                <w:bCs w:val="false"/>
                <w:color w:val="000000"/>
                <w:sz w:val="19"/>
                <w:szCs w:val="19"/>
              </w:rPr>
              <w:t xml:space="preserve">OPEN -- Get an actual QML-literate human read-through -- this document is not a substitute for that step, and remains the last item before submission.</w:t>
            </w:r>
          </w:p>
        </w:tc>
        <w:tc>
          <w:tcPr>
            <w:tcW w:type="dxa" w:w="1600"/>
            <w:tcMar>
              <w:top w:type="dxa" w:w="60"/>
              <w:left w:type="dxa" w:w="90"/>
              <w:bottom w:type="dxa" w:w="60"/>
              <w:right w:type="dxa" w:w="90"/>
            </w:tcMar>
            <w:vAlign w:val="center"/>
          </w:tcPr>
          <w:p>
            <w:pPr>
              <w:jc w:val="left"/>
            </w:pPr>
            <w:r>
              <w:rPr>
                <w:b w:val="false"/>
                <w:bCs w:val="false"/>
                <w:color w:val="000000"/>
                <w:sz w:val="19"/>
                <w:szCs w:val="19"/>
              </w:rPr>
              <w:t xml:space="preserve">N/A</w:t>
            </w:r>
          </w:p>
        </w:tc>
      </w:tr>
    </w:tbl>
    <w:p>
      <w:pPr>
        <w:pStyle w:val="Heading1"/>
        <w:spacing w:after="140" w:before="320"/>
      </w:pPr>
      <w:r>
        <w:rPr>
          <w:b/>
          <w:bCs/>
          <w:color w:val="1F4E78"/>
          <w:sz w:val="28"/>
          <w:szCs w:val="28"/>
        </w:rPr>
        <w:t xml:space="preserve">Closing Note</w:t>
      </w:r>
    </w:p>
    <w:p>
      <w:pPr>
        <w:spacing w:after="200" w:line="340"/>
        <w:jc w:val="both"/>
      </w:pPr>
      <w:r>
        <w:rPr>
          <w:b w:val="false"/>
          <w:bCs w:val="false"/>
          <w:i w:val="false"/>
          <w:iCs w:val="false"/>
          <w:color w:val="000000"/>
          <w:sz w:val="22"/>
          <w:szCs w:val="22"/>
        </w:rPr>
        <w:t xml:space="preserve">None of the above undermines the manuscript's central, genuinely useful contribution: a reproducible, statistically defensible demonstration that reported QSVM advantages are encoding-dependent and often more fragile than single-run comparisons suggest. Every substantive methodological and analytical concern raised in this review has now been closed. What remains -- author/institutional details and an independent human read-through -- is exactly what any manuscript needs before submission, not evidence of unresolved risk in the work itself.</w:t>
      </w:r>
    </w:p>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Pre-Submission Review Notes -- Paper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2026-07-18T18:12:02.950Z</dcterms:created>
  <dcterms:modified xsi:type="dcterms:W3CDTF">2026-07-18T18:12:02.951Z</dcterms:modified>
</cp:coreProperties>
</file>

<file path=docProps/custom.xml><?xml version="1.0" encoding="utf-8"?>
<Properties xmlns="http://schemas.openxmlformats.org/officeDocument/2006/custom-properties" xmlns:vt="http://schemas.openxmlformats.org/officeDocument/2006/docPropsVTypes"/>
</file>