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60"/>
      </w:pPr>
      <w:r>
        <w:rPr>
          <w:b/>
          <w:color w:val="1A365D"/>
          <w:sz w:val="40"/>
        </w:rPr>
        <w:t>Data Warehousing &amp; Data Mining Lab Report</w:t>
      </w:r>
    </w:p>
    <w:p>
      <w:pPr>
        <w:spacing w:after="120"/>
      </w:pPr>
      <w:r/>
      <w:r>
        <w:rPr>
          <w:b/>
        </w:rPr>
        <w:t>Experiment Title:</w:t>
      </w:r>
      <w:r>
        <w:t xml:space="preserve"> Retail Sales Data Preprocessing, Exploratory Data Analysis, and Advanced Data Mining (Classification, Clustering, and Predictive Regression)</w:t>
      </w:r>
    </w:p>
    <w:p>
      <w:pPr>
        <w:spacing w:after="120"/>
      </w:pPr>
      <w:r/>
      <w:r>
        <w:rPr>
          <w:b/>
        </w:rPr>
        <w:t>Dataset:</w:t>
      </w:r>
      <w:r>
        <w:t xml:space="preserve"> Kaggle Retail Sales Dataset (1,000 records)</w:t>
      </w:r>
    </w:p>
    <w:p>
      <w:pPr>
        <w:spacing w:after="120"/>
      </w:pPr>
      <w:r/>
      <w:r>
        <w:rPr>
          <w:b/>
        </w:rPr>
        <w:t>Tool:</w:t>
      </w:r>
      <w:r>
        <w:t xml:space="preserve"> Python 3, Pandas, Scikit-learn, Seaborn, Matplotlib, Jupyter Notebook</w:t>
      </w:r>
    </w:p>
    <w:p>
      <w:pPr>
        <w:spacing w:after="120"/>
      </w:pPr>
      <w:r/>
      <w:r>
        <w:rPr>
          <w:b/>
        </w:rPr>
        <w:t>Date:</w:t>
      </w:r>
      <w:r>
        <w:t xml:space="preserve"> August 2026</w:t>
      </w:r>
    </w:p>
    <w:p>
      <w:pPr>
        <w:spacing w:before="280" w:after="120"/>
      </w:pPr>
      <w:r>
        <w:rPr>
          <w:b/>
          <w:color w:val="2B6CB0"/>
          <w:sz w:val="30"/>
        </w:rPr>
        <w:t>1. Experiment Title</w:t>
      </w:r>
    </w:p>
    <w:p>
      <w:pPr>
        <w:spacing w:after="120"/>
      </w:pPr>
      <w:r/>
      <w:r>
        <w:rPr>
          <w:b/>
        </w:rPr>
        <w:t>Data Warehousing, Data Preprocessing, Exploratory Data Analysis (EDA), and Data Mining Techniques Applied to Kaggle Retail Sales Dataset</w:t>
      </w:r>
      <w:r/>
    </w:p>
    <w:p>
      <w:pPr>
        <w:spacing w:before="280" w:after="120"/>
      </w:pPr>
      <w:r>
        <w:rPr>
          <w:b/>
          <w:color w:val="2B6CB0"/>
          <w:sz w:val="30"/>
        </w:rPr>
        <w:t>2. Objective</w:t>
      </w:r>
    </w:p>
    <w:p>
      <w:pPr>
        <w:spacing w:after="120"/>
      </w:pPr>
      <w:r>
        <w:t>The primary objectives of this practical lab experiment are:</w:t>
      </w:r>
    </w:p>
    <w:p>
      <w:pPr>
        <w:spacing w:after="120"/>
      </w:pPr>
      <w:r>
        <w:t xml:space="preserve">1. </w:t>
      </w:r>
      <w:r>
        <w:rPr>
          <w:b/>
        </w:rPr>
        <w:t>Data Preprocessing &amp; Cleaning:</w:t>
      </w:r>
      <w:r>
        <w:t xml:space="preserve"> Acquire a real-world dataset from Kaggle, check for missing values, eliminate duplicate entries, perform data type conversion, encode categorical variables, and standardize numerical attributes.</w:t>
      </w:r>
    </w:p>
    <w:p>
      <w:pPr>
        <w:spacing w:after="120"/>
      </w:pPr>
      <w:r>
        <w:t xml:space="preserve">2. </w:t>
      </w:r>
      <w:r>
        <w:rPr>
          <w:b/>
        </w:rPr>
        <w:t>Exploratory Data Analysis (EDA) &amp; Visualization:</w:t>
      </w:r>
      <w:r>
        <w:t xml:space="preserve"> Conduct statistical analysis and construct at least eight (8) distinct visual representations (Bar Chart, Line Chart, Pie Chart, Histogram, Box Plot, Scatter Plot, Heatmap, Count Plot) to discover trends, outliers, and feature correlations.</w:t>
      </w:r>
    </w:p>
    <w:p>
      <w:pPr>
        <w:spacing w:after="120"/>
      </w:pPr>
      <w:r>
        <w:t xml:space="preserve">3. </w:t>
      </w:r>
      <w:r>
        <w:rPr>
          <w:b/>
        </w:rPr>
        <w:t>Data Mining Algorithms Implementation:</w:t>
      </w:r>
      <w:r/>
    </w:p>
    <w:p>
      <w:pPr>
        <w:pStyle w:val="ListBullet"/>
        <w:spacing w:after="60"/>
      </w:pPr>
      <w:r/>
      <w:r>
        <w:rPr>
          <w:b/>
        </w:rPr>
        <w:t>Classification:</w:t>
      </w:r>
      <w:r>
        <w:t xml:space="preserve"> Build and evaluate Decision Tree and Random Forest classifiers to categorize retail transactions.</w:t>
      </w:r>
    </w:p>
    <w:p>
      <w:pPr>
        <w:pStyle w:val="ListBullet"/>
        <w:spacing w:after="60"/>
      </w:pPr>
      <w:r/>
      <w:r>
        <w:rPr>
          <w:b/>
        </w:rPr>
        <w:t>Clustering:</w:t>
      </w:r>
      <w:r>
        <w:t xml:space="preserve"> Implement unsupervised K-Means Clustering with Elbow Method and Silhouette Analysis to segment retail customers into distinct behavioral groups.</w:t>
      </w:r>
    </w:p>
    <w:p>
      <w:pPr>
        <w:pStyle w:val="ListBullet"/>
        <w:spacing w:after="60"/>
      </w:pPr>
      <w:r/>
      <w:r>
        <w:rPr>
          <w:b/>
        </w:rPr>
        <w:t>Regression / Predictive Modeling:</w:t>
      </w:r>
      <w:r>
        <w:t xml:space="preserve"> Build a Multiple Linear Regression model to predict total purchase transaction amounts.</w:t>
      </w:r>
    </w:p>
    <w:p>
      <w:pPr>
        <w:spacing w:after="120"/>
      </w:pPr>
      <w:r>
        <w:t xml:space="preserve">4. </w:t>
      </w:r>
      <w:r>
        <w:rPr>
          <w:b/>
        </w:rPr>
        <w:t>Performance Evaluation &amp; Business Insights:</w:t>
      </w:r>
      <w:r>
        <w:t xml:space="preserve"> Evaluate models using quantitative metrics (Accuracy, Precision, Recall, F1-Score, Confusion Matrix, Silhouette Score, $R^2$, MAE, RMSE) and translate data patterns into strategic retail recommendations.</w:t>
      </w:r>
    </w:p>
    <w:p>
      <w:pPr>
        <w:spacing w:before="280" w:after="120"/>
      </w:pPr>
      <w:r>
        <w:rPr>
          <w:b/>
          <w:color w:val="2B6CB0"/>
          <w:sz w:val="30"/>
        </w:rPr>
        <w:t>3. Introduction</w:t>
      </w:r>
    </w:p>
    <w:p>
      <w:pPr>
        <w:spacing w:before="200" w:after="80"/>
      </w:pPr>
      <w:r>
        <w:rPr>
          <w:b/>
          <w:color w:val="2D3748"/>
          <w:sz w:val="24"/>
        </w:rPr>
        <w:t>3.1 Brief Description of the Dataset</w:t>
      </w:r>
    </w:p>
    <w:p>
      <w:pPr>
        <w:spacing w:after="120"/>
      </w:pPr>
      <w:r>
        <w:t xml:space="preserve">The dataset utilized in this experiment is the </w:t>
      </w:r>
      <w:r>
        <w:rPr>
          <w:b/>
        </w:rPr>
        <w:t>Retail Sales Dataset</w:t>
      </w:r>
      <w:r>
        <w:t xml:space="preserve"> sourced from Kaggle. It comprises </w:t>
      </w:r>
      <w:r>
        <w:rPr>
          <w:b/>
        </w:rPr>
        <w:t>1,000 transaction records</w:t>
      </w:r>
      <w:r>
        <w:t xml:space="preserve"> collected across a full calendar year (2023). Each transaction records individual customer demographics (Customer ID, Age, Gender), product information (Product Category, Price per Unit, Quantity), monetary metrics (Total Amount), and temporal data (Transaction Date).</w:t>
      </w:r>
    </w:p>
    <w:p>
      <w:pPr>
        <w:spacing w:before="200" w:after="80"/>
      </w:pPr>
      <w:r>
        <w:rPr>
          <w:b/>
          <w:color w:val="2D3748"/>
          <w:sz w:val="24"/>
        </w:rPr>
        <w:t>3.2 Importance of Data Mining</w:t>
      </w:r>
    </w:p>
    <w:p>
      <w:pPr>
        <w:spacing w:after="120"/>
      </w:pPr>
      <w:r>
        <w:t>In modern data warehousing and retail enterprise systems, vast transactional databases are continuously accumulated. Data Mining provides automated and semi-automated analytical tools to convert raw transactional tables into strategic insights. Key benefits include:</w:t>
      </w:r>
    </w:p>
    <w:p>
      <w:pPr>
        <w:pStyle w:val="ListBullet"/>
        <w:spacing w:after="60"/>
      </w:pPr>
      <w:r/>
      <w:r>
        <w:rPr>
          <w:b/>
        </w:rPr>
        <w:t>Demographic Segmentation:</w:t>
      </w:r>
      <w:r>
        <w:t xml:space="preserve"> Identifying high-value customer age groups and gender preferences.</w:t>
      </w:r>
    </w:p>
    <w:p>
      <w:pPr>
        <w:pStyle w:val="ListBullet"/>
        <w:spacing w:after="60"/>
      </w:pPr>
      <w:r/>
      <w:r>
        <w:rPr>
          <w:b/>
        </w:rPr>
        <w:t>Inventory &amp; Revenue Planning:</w:t>
      </w:r>
      <w:r>
        <w:t xml:space="preserve"> Predicting revenue trends across product lines to minimize stockouts and overstock.</w:t>
      </w:r>
    </w:p>
    <w:p>
      <w:pPr>
        <w:pStyle w:val="ListBullet"/>
        <w:spacing w:after="60"/>
      </w:pPr>
      <w:r/>
      <w:r>
        <w:rPr>
          <w:b/>
        </w:rPr>
        <w:t>Market Basket &amp; Pricing Strategy:</w:t>
      </w:r>
      <w:r>
        <w:t xml:space="preserve"> Understanding price elasticity and purchase quantity dynamics.</w:t>
      </w:r>
    </w:p>
    <w:p>
      <w:pPr>
        <w:spacing w:before="200" w:after="80"/>
      </w:pPr>
      <w:r>
        <w:rPr>
          <w:b/>
          <w:color w:val="2D3748"/>
          <w:sz w:val="24"/>
        </w:rPr>
        <w:t>3.3 Purpose of the Analysis</w:t>
      </w:r>
    </w:p>
    <w:p>
      <w:pPr>
        <w:spacing w:after="120"/>
      </w:pPr>
      <w:r>
        <w:t>The purpose of this analysis is to apply foundational data warehousing and data mining concepts to raw retail transaction logs. Specifically, the experiment demonstrates how preprocessing, EDA, supervised classification, unsupervised clustering, and predictive regression work synergistically to solve real-world business challenges.</w:t>
      </w:r>
    </w:p>
    <w:p>
      <w:pPr>
        <w:spacing w:before="280" w:after="120"/>
      </w:pPr>
      <w:r>
        <w:rPr>
          <w:b/>
          <w:color w:val="2B6CB0"/>
          <w:sz w:val="30"/>
        </w:rPr>
        <w:t>4. Dataset Information</w:t>
      </w:r>
    </w:p>
    <w:p>
      <w:pPr>
        <w:pStyle w:val="ListBullet"/>
        <w:spacing w:after="60"/>
      </w:pPr>
      <w:r/>
      <w:r>
        <w:rPr>
          <w:b/>
        </w:rPr>
        <w:t>Dataset Name:</w:t>
      </w:r>
      <w:r>
        <w:t xml:space="preserve"> Retail Sales Dataset</w:t>
      </w:r>
    </w:p>
    <w:p>
      <w:pPr>
        <w:pStyle w:val="ListBullet"/>
        <w:spacing w:after="60"/>
      </w:pPr>
      <w:r/>
      <w:r>
        <w:rPr>
          <w:b/>
        </w:rPr>
        <w:t>Kaggle Dataset Link:</w:t>
      </w:r>
      <w:r>
        <w:t xml:space="preserve"> [https://www.kaggle.com/datasets/mohammadtalib786/retail-sales-dataset](https://www.kaggle.com/datasets/mohammadtalib786/retail-sales-dataset)</w:t>
      </w:r>
    </w:p>
    <w:p>
      <w:pPr>
        <w:pStyle w:val="ListBullet"/>
        <w:spacing w:after="60"/>
      </w:pPr>
      <w:r/>
      <w:r>
        <w:rPr>
          <w:b/>
        </w:rPr>
        <w:t>Number of Rows:</w:t>
      </w:r>
      <w:r>
        <w:t xml:space="preserve"> 1,000 records</w:t>
      </w:r>
    </w:p>
    <w:p>
      <w:pPr>
        <w:pStyle w:val="ListBullet"/>
        <w:spacing w:after="60"/>
      </w:pPr>
      <w:r/>
      <w:r>
        <w:rPr>
          <w:b/>
        </w:rPr>
        <w:t>Number of Columns:</w:t>
      </w:r>
      <w:r>
        <w:t xml:space="preserve"> 9 features</w:t>
      </w:r>
    </w:p>
    <w:p>
      <w:pPr>
        <w:spacing w:before="200" w:after="80"/>
      </w:pPr>
      <w:r>
        <w:rPr>
          <w:b/>
          <w:color w:val="2D3748"/>
          <w:sz w:val="24"/>
        </w:rPr>
        <w:t>Attribute Description</w:t>
      </w:r>
    </w:p>
    <w:tbl>
      <w:tblPr>
        <w:tblW w:type="auto" w:w="0"/>
        <w:jc w:val="center"/>
        <w:tblLook w:firstColumn="1" w:firstRow="1" w:lastColumn="0" w:lastRow="0" w:noHBand="0" w:noVBand="1" w:val="04A0"/>
      </w:tblPr>
      <w:tblGrid>
        <w:gridCol w:w="2340"/>
        <w:gridCol w:w="2340"/>
        <w:gridCol w:w="2340"/>
        <w:gridCol w:w="2340"/>
      </w:tblGrid>
      <w:tr>
        <w:tc>
          <w:tcPr>
            <w:tcW w:type="dxa" w:w="2340"/>
            <w:shd w:val="clear" w:color="auto" w:fill="2B6CB0"/>
          </w:tcPr>
          <w:p>
            <w:pPr>
              <w:spacing w:before="80" w:after="80"/>
            </w:pPr>
            <w:r>
              <w:rPr>
                <w:b/>
                <w:color w:val="FFFFFF"/>
                <w:sz w:val="20"/>
              </w:rPr>
              <w:t>Attribute Name</w:t>
            </w:r>
          </w:p>
        </w:tc>
        <w:tc>
          <w:tcPr>
            <w:tcW w:type="dxa" w:w="2340"/>
            <w:shd w:val="clear" w:color="auto" w:fill="2B6CB0"/>
          </w:tcPr>
          <w:p>
            <w:pPr>
              <w:spacing w:before="80" w:after="80"/>
            </w:pPr>
            <w:r>
              <w:rPr>
                <w:b/>
                <w:color w:val="FFFFFF"/>
                <w:sz w:val="20"/>
              </w:rPr>
              <w:t>Data Type</w:t>
            </w:r>
          </w:p>
        </w:tc>
        <w:tc>
          <w:tcPr>
            <w:tcW w:type="dxa" w:w="2340"/>
            <w:shd w:val="clear" w:color="auto" w:fill="2B6CB0"/>
          </w:tcPr>
          <w:p>
            <w:pPr>
              <w:spacing w:before="80" w:after="80"/>
            </w:pPr>
            <w:r>
              <w:rPr>
                <w:b/>
                <w:color w:val="FFFFFF"/>
                <w:sz w:val="20"/>
              </w:rPr>
              <w:t>Description</w:t>
            </w:r>
          </w:p>
        </w:tc>
        <w:tc>
          <w:tcPr>
            <w:tcW w:type="dxa" w:w="2340"/>
            <w:shd w:val="clear" w:color="auto" w:fill="2B6CB0"/>
          </w:tcPr>
          <w:p>
            <w:pPr>
              <w:spacing w:before="80" w:after="80"/>
            </w:pPr>
            <w:r>
              <w:rPr>
                <w:b/>
                <w:color w:val="FFFFFF"/>
                <w:sz w:val="20"/>
              </w:rPr>
              <w:t>Range / Values</w:t>
            </w:r>
          </w:p>
        </w:tc>
      </w:tr>
      <w:tr>
        <w:tc>
          <w:tcPr>
            <w:tcW w:type="dxa" w:w="2340"/>
          </w:tcPr>
          <w:p>
            <w:pPr>
              <w:spacing w:before="80" w:after="80"/>
            </w:pPr>
            <w:r>
              <w:rPr>
                <w:sz w:val="19"/>
              </w:rPr>
              <w:t>Transaction ID</w:t>
            </w:r>
          </w:p>
        </w:tc>
        <w:tc>
          <w:tcPr>
            <w:tcW w:type="dxa" w:w="2340"/>
          </w:tcPr>
          <w:p>
            <w:pPr>
              <w:spacing w:before="80" w:after="80"/>
            </w:pPr>
            <w:r>
              <w:rPr>
                <w:sz w:val="19"/>
              </w:rPr>
              <w:t>Numeric (Integer)</w:t>
            </w:r>
          </w:p>
        </w:tc>
        <w:tc>
          <w:tcPr>
            <w:tcW w:type="dxa" w:w="2340"/>
          </w:tcPr>
          <w:p>
            <w:pPr>
              <w:spacing w:before="80" w:after="80"/>
            </w:pPr>
            <w:r>
              <w:rPr>
                <w:sz w:val="19"/>
              </w:rPr>
              <w:t>Unique identification number for each purchase transaction</w:t>
            </w:r>
          </w:p>
        </w:tc>
        <w:tc>
          <w:tcPr>
            <w:tcW w:type="dxa" w:w="2340"/>
          </w:tcPr>
          <w:p>
            <w:pPr>
              <w:spacing w:before="80" w:after="80"/>
            </w:pPr>
            <w:r>
              <w:rPr>
                <w:sz w:val="19"/>
              </w:rPr>
              <w:t>1 to 1000</w:t>
            </w:r>
          </w:p>
        </w:tc>
      </w:tr>
      <w:tr>
        <w:tc>
          <w:tcPr>
            <w:tcW w:type="dxa" w:w="2340"/>
            <w:shd w:val="clear" w:color="auto" w:fill="F7FAFC"/>
          </w:tcPr>
          <w:p>
            <w:pPr>
              <w:spacing w:before="80" w:after="80"/>
            </w:pPr>
            <w:r>
              <w:rPr>
                <w:sz w:val="19"/>
              </w:rPr>
              <w:t>Date</w:t>
            </w:r>
          </w:p>
        </w:tc>
        <w:tc>
          <w:tcPr>
            <w:tcW w:type="dxa" w:w="2340"/>
            <w:shd w:val="clear" w:color="auto" w:fill="F7FAFC"/>
          </w:tcPr>
          <w:p>
            <w:pPr>
              <w:spacing w:before="80" w:after="80"/>
            </w:pPr>
            <w:r>
              <w:rPr>
                <w:sz w:val="19"/>
              </w:rPr>
              <w:t>Date (String -&gt; Datetime)</w:t>
            </w:r>
          </w:p>
        </w:tc>
        <w:tc>
          <w:tcPr>
            <w:tcW w:type="dxa" w:w="2340"/>
            <w:shd w:val="clear" w:color="auto" w:fill="F7FAFC"/>
          </w:tcPr>
          <w:p>
            <w:pPr>
              <w:spacing w:before="80" w:after="80"/>
            </w:pPr>
            <w:r>
              <w:rPr>
                <w:sz w:val="19"/>
              </w:rPr>
              <w:t>Calendar date when the purchase was made</w:t>
            </w:r>
          </w:p>
        </w:tc>
        <w:tc>
          <w:tcPr>
            <w:tcW w:type="dxa" w:w="2340"/>
            <w:shd w:val="clear" w:color="auto" w:fill="F7FAFC"/>
          </w:tcPr>
          <w:p>
            <w:pPr>
              <w:spacing w:before="80" w:after="80"/>
            </w:pPr>
            <w:r>
              <w:rPr>
                <w:sz w:val="19"/>
              </w:rPr>
              <w:t>2023-01-01 to 2023-12-31</w:t>
            </w:r>
          </w:p>
        </w:tc>
      </w:tr>
      <w:tr>
        <w:tc>
          <w:tcPr>
            <w:tcW w:type="dxa" w:w="2340"/>
          </w:tcPr>
          <w:p>
            <w:pPr>
              <w:spacing w:before="80" w:after="80"/>
            </w:pPr>
            <w:r>
              <w:rPr>
                <w:sz w:val="19"/>
              </w:rPr>
              <w:t>Customer ID</w:t>
            </w:r>
          </w:p>
        </w:tc>
        <w:tc>
          <w:tcPr>
            <w:tcW w:type="dxa" w:w="2340"/>
          </w:tcPr>
          <w:p>
            <w:pPr>
              <w:spacing w:before="80" w:after="80"/>
            </w:pPr>
            <w:r>
              <w:rPr>
                <w:sz w:val="19"/>
              </w:rPr>
              <w:t>Categorical (String)</w:t>
            </w:r>
          </w:p>
        </w:tc>
        <w:tc>
          <w:tcPr>
            <w:tcW w:type="dxa" w:w="2340"/>
          </w:tcPr>
          <w:p>
            <w:pPr>
              <w:spacing w:before="80" w:after="80"/>
            </w:pPr>
            <w:r>
              <w:rPr>
                <w:sz w:val="19"/>
              </w:rPr>
              <w:t>Unique identifier assigned to each customer</w:t>
            </w:r>
          </w:p>
        </w:tc>
        <w:tc>
          <w:tcPr>
            <w:tcW w:type="dxa" w:w="2340"/>
          </w:tcPr>
          <w:p>
            <w:pPr>
              <w:spacing w:before="80" w:after="80"/>
            </w:pPr>
            <w:r>
              <w:rPr>
                <w:sz w:val="19"/>
              </w:rPr>
              <w:t>CUST001 to CUST1000</w:t>
            </w:r>
          </w:p>
        </w:tc>
      </w:tr>
      <w:tr>
        <w:tc>
          <w:tcPr>
            <w:tcW w:type="dxa" w:w="2340"/>
            <w:shd w:val="clear" w:color="auto" w:fill="F7FAFC"/>
          </w:tcPr>
          <w:p>
            <w:pPr>
              <w:spacing w:before="80" w:after="80"/>
            </w:pPr>
            <w:r>
              <w:rPr>
                <w:sz w:val="19"/>
              </w:rPr>
              <w:t>Gender</w:t>
            </w:r>
          </w:p>
        </w:tc>
        <w:tc>
          <w:tcPr>
            <w:tcW w:type="dxa" w:w="2340"/>
            <w:shd w:val="clear" w:color="auto" w:fill="F7FAFC"/>
          </w:tcPr>
          <w:p>
            <w:pPr>
              <w:spacing w:before="80" w:after="80"/>
            </w:pPr>
            <w:r>
              <w:rPr>
                <w:sz w:val="19"/>
              </w:rPr>
              <w:t>Categorical</w:t>
            </w:r>
          </w:p>
        </w:tc>
        <w:tc>
          <w:tcPr>
            <w:tcW w:type="dxa" w:w="2340"/>
            <w:shd w:val="clear" w:color="auto" w:fill="F7FAFC"/>
          </w:tcPr>
          <w:p>
            <w:pPr>
              <w:spacing w:before="80" w:after="80"/>
            </w:pPr>
            <w:r>
              <w:rPr>
                <w:sz w:val="19"/>
              </w:rPr>
              <w:t>Gender of the customer</w:t>
            </w:r>
          </w:p>
        </w:tc>
        <w:tc>
          <w:tcPr>
            <w:tcW w:type="dxa" w:w="2340"/>
            <w:shd w:val="clear" w:color="auto" w:fill="F7FAFC"/>
          </w:tcPr>
          <w:p>
            <w:pPr>
              <w:spacing w:before="80" w:after="80"/>
            </w:pPr>
            <w:r>
              <w:rPr>
                <w:sz w:val="19"/>
              </w:rPr>
              <w:t>Male, Female</w:t>
            </w:r>
          </w:p>
        </w:tc>
      </w:tr>
      <w:tr>
        <w:tc>
          <w:tcPr>
            <w:tcW w:type="dxa" w:w="2340"/>
          </w:tcPr>
          <w:p>
            <w:pPr>
              <w:spacing w:before="80" w:after="80"/>
            </w:pPr>
            <w:r>
              <w:rPr>
                <w:sz w:val="19"/>
              </w:rPr>
              <w:t>Age</w:t>
            </w:r>
          </w:p>
        </w:tc>
        <w:tc>
          <w:tcPr>
            <w:tcW w:type="dxa" w:w="2340"/>
          </w:tcPr>
          <w:p>
            <w:pPr>
              <w:spacing w:before="80" w:after="80"/>
            </w:pPr>
            <w:r>
              <w:rPr>
                <w:sz w:val="19"/>
              </w:rPr>
              <w:t>Numeric (Integer)</w:t>
            </w:r>
          </w:p>
        </w:tc>
        <w:tc>
          <w:tcPr>
            <w:tcW w:type="dxa" w:w="2340"/>
          </w:tcPr>
          <w:p>
            <w:pPr>
              <w:spacing w:before="80" w:after="80"/>
            </w:pPr>
            <w:r>
              <w:rPr>
                <w:sz w:val="19"/>
              </w:rPr>
              <w:t>Age of the customer in years</w:t>
            </w:r>
          </w:p>
        </w:tc>
        <w:tc>
          <w:tcPr>
            <w:tcW w:type="dxa" w:w="2340"/>
          </w:tcPr>
          <w:p>
            <w:pPr>
              <w:spacing w:before="80" w:after="80"/>
            </w:pPr>
            <w:r>
              <w:rPr>
                <w:sz w:val="19"/>
              </w:rPr>
              <w:t>18 to 64 years</w:t>
            </w:r>
          </w:p>
        </w:tc>
      </w:tr>
      <w:tr>
        <w:tc>
          <w:tcPr>
            <w:tcW w:type="dxa" w:w="2340"/>
            <w:shd w:val="clear" w:color="auto" w:fill="F7FAFC"/>
          </w:tcPr>
          <w:p>
            <w:pPr>
              <w:spacing w:before="80" w:after="80"/>
            </w:pPr>
            <w:r>
              <w:rPr>
                <w:sz w:val="19"/>
              </w:rPr>
              <w:t>Product Category</w:t>
            </w:r>
          </w:p>
        </w:tc>
        <w:tc>
          <w:tcPr>
            <w:tcW w:type="dxa" w:w="2340"/>
            <w:shd w:val="clear" w:color="auto" w:fill="F7FAFC"/>
          </w:tcPr>
          <w:p>
            <w:pPr>
              <w:spacing w:before="80" w:after="80"/>
            </w:pPr>
            <w:r>
              <w:rPr>
                <w:sz w:val="19"/>
              </w:rPr>
              <w:t>Categorical</w:t>
            </w:r>
          </w:p>
        </w:tc>
        <w:tc>
          <w:tcPr>
            <w:tcW w:type="dxa" w:w="2340"/>
            <w:shd w:val="clear" w:color="auto" w:fill="F7FAFC"/>
          </w:tcPr>
          <w:p>
            <w:pPr>
              <w:spacing w:before="80" w:after="80"/>
            </w:pPr>
            <w:r>
              <w:rPr>
                <w:sz w:val="19"/>
              </w:rPr>
              <w:t>Broad merchandise category of the item</w:t>
            </w:r>
          </w:p>
        </w:tc>
        <w:tc>
          <w:tcPr>
            <w:tcW w:type="dxa" w:w="2340"/>
            <w:shd w:val="clear" w:color="auto" w:fill="F7FAFC"/>
          </w:tcPr>
          <w:p>
            <w:pPr>
              <w:spacing w:before="80" w:after="80"/>
            </w:pPr>
            <w:r>
              <w:rPr>
                <w:sz w:val="19"/>
              </w:rPr>
              <w:t>Beauty, Clothing, Electronics</w:t>
            </w:r>
          </w:p>
        </w:tc>
      </w:tr>
      <w:tr>
        <w:tc>
          <w:tcPr>
            <w:tcW w:type="dxa" w:w="2340"/>
          </w:tcPr>
          <w:p>
            <w:pPr>
              <w:spacing w:before="80" w:after="80"/>
            </w:pPr>
            <w:r>
              <w:rPr>
                <w:sz w:val="19"/>
              </w:rPr>
              <w:t>Quantity</w:t>
            </w:r>
          </w:p>
        </w:tc>
        <w:tc>
          <w:tcPr>
            <w:tcW w:type="dxa" w:w="2340"/>
          </w:tcPr>
          <w:p>
            <w:pPr>
              <w:spacing w:before="80" w:after="80"/>
            </w:pPr>
            <w:r>
              <w:rPr>
                <w:sz w:val="19"/>
              </w:rPr>
              <w:t>Numeric (Integer)</w:t>
            </w:r>
          </w:p>
        </w:tc>
        <w:tc>
          <w:tcPr>
            <w:tcW w:type="dxa" w:w="2340"/>
          </w:tcPr>
          <w:p>
            <w:pPr>
              <w:spacing w:before="80" w:after="80"/>
            </w:pPr>
            <w:r>
              <w:rPr>
                <w:sz w:val="19"/>
              </w:rPr>
              <w:t>Number of units purchased per transaction</w:t>
            </w:r>
          </w:p>
        </w:tc>
        <w:tc>
          <w:tcPr>
            <w:tcW w:type="dxa" w:w="2340"/>
          </w:tcPr>
          <w:p>
            <w:pPr>
              <w:spacing w:before="80" w:after="80"/>
            </w:pPr>
            <w:r>
              <w:rPr>
                <w:sz w:val="19"/>
              </w:rPr>
              <w:t>1 to 4 units</w:t>
            </w:r>
          </w:p>
        </w:tc>
      </w:tr>
      <w:tr>
        <w:tc>
          <w:tcPr>
            <w:tcW w:type="dxa" w:w="2340"/>
            <w:shd w:val="clear" w:color="auto" w:fill="F7FAFC"/>
          </w:tcPr>
          <w:p>
            <w:pPr>
              <w:spacing w:before="80" w:after="80"/>
            </w:pPr>
            <w:r>
              <w:rPr>
                <w:sz w:val="19"/>
              </w:rPr>
              <w:t>Price per Unit</w:t>
            </w:r>
          </w:p>
        </w:tc>
        <w:tc>
          <w:tcPr>
            <w:tcW w:type="dxa" w:w="2340"/>
            <w:shd w:val="clear" w:color="auto" w:fill="F7FAFC"/>
          </w:tcPr>
          <w:p>
            <w:pPr>
              <w:spacing w:before="80" w:after="80"/>
            </w:pPr>
            <w:r>
              <w:rPr>
                <w:sz w:val="19"/>
              </w:rPr>
              <w:t>Numeric (Float/Int)</w:t>
            </w:r>
          </w:p>
        </w:tc>
        <w:tc>
          <w:tcPr>
            <w:tcW w:type="dxa" w:w="2340"/>
            <w:shd w:val="clear" w:color="auto" w:fill="F7FAFC"/>
          </w:tcPr>
          <w:p>
            <w:pPr>
              <w:spacing w:before="80" w:after="80"/>
            </w:pPr>
            <w:r>
              <w:rPr>
                <w:sz w:val="19"/>
              </w:rPr>
              <w:t>Unit price of the item in USD ($)</w:t>
            </w:r>
          </w:p>
        </w:tc>
        <w:tc>
          <w:tcPr>
            <w:tcW w:type="dxa" w:w="2340"/>
            <w:shd w:val="clear" w:color="auto" w:fill="F7FAFC"/>
          </w:tcPr>
          <w:p>
            <w:pPr>
              <w:spacing w:before="80" w:after="80"/>
            </w:pPr>
            <w:r>
              <w:rPr>
                <w:sz w:val="19"/>
              </w:rPr>
              <w:t>$25, $30, $50, $300, $500</w:t>
            </w:r>
          </w:p>
        </w:tc>
      </w:tr>
      <w:tr>
        <w:tc>
          <w:tcPr>
            <w:tcW w:type="dxa" w:w="2340"/>
          </w:tcPr>
          <w:p>
            <w:pPr>
              <w:spacing w:before="80" w:after="80"/>
            </w:pPr>
            <w:r>
              <w:rPr>
                <w:sz w:val="19"/>
              </w:rPr>
              <w:t>Total Amount</w:t>
            </w:r>
          </w:p>
        </w:tc>
        <w:tc>
          <w:tcPr>
            <w:tcW w:type="dxa" w:w="2340"/>
          </w:tcPr>
          <w:p>
            <w:pPr>
              <w:spacing w:before="80" w:after="80"/>
            </w:pPr>
            <w:r>
              <w:rPr>
                <w:sz w:val="19"/>
              </w:rPr>
              <w:t>Numeric (Float/Int)</w:t>
            </w:r>
          </w:p>
        </w:tc>
        <w:tc>
          <w:tcPr>
            <w:tcW w:type="dxa" w:w="2340"/>
          </w:tcPr>
          <w:p>
            <w:pPr>
              <w:spacing w:before="80" w:after="80"/>
            </w:pPr>
            <w:r>
              <w:rPr>
                <w:sz w:val="19"/>
              </w:rPr>
              <w:t>Total transaction value ($) (Quantity × Price per Unit)</w:t>
            </w:r>
          </w:p>
        </w:tc>
        <w:tc>
          <w:tcPr>
            <w:tcW w:type="dxa" w:w="2340"/>
          </w:tcPr>
          <w:p>
            <w:pPr>
              <w:spacing w:before="80" w:after="80"/>
            </w:pPr>
            <w:r>
              <w:rPr>
                <w:sz w:val="19"/>
              </w:rPr>
              <w:t>$25 to $2,000</w:t>
            </w:r>
          </w:p>
        </w:tc>
      </w:tr>
    </w:tbl>
    <w:p/>
    <w:p>
      <w:pPr>
        <w:spacing w:before="280" w:after="120"/>
      </w:pPr>
      <w:r>
        <w:rPr>
          <w:b/>
          <w:color w:val="2B6CB0"/>
          <w:sz w:val="30"/>
        </w:rPr>
        <w:t>5. Data Preprocessing</w:t>
      </w:r>
    </w:p>
    <w:p>
      <w:pPr>
        <w:spacing w:after="120"/>
      </w:pPr>
      <w:r>
        <w:t>Data preprocessing is a crucial step in Data Mining to transform raw, noisy, or incomplete data into a high-quality format suitable for analytics.</w:t>
      </w:r>
    </w:p>
    <w:p>
      <w:pPr>
        <w:spacing w:before="120" w:after="120"/>
        <w:ind w:left="288"/>
      </w:pPr>
      <w:r>
        <w:rPr>
          <w:rFonts w:ascii="Consolas" w:hAnsi="Consolas"/>
          <w:color w:val="1A202C"/>
          <w:sz w:val="19"/>
        </w:rPr>
        <w:t>import pandas as pd</w:t>
        <w:br/>
        <w:t>import numpy as np</w:t>
        <w:br/>
        <w:t>from sklearn.preprocessing import StandardScaler, LabelEncoder</w:t>
        <w:br/>
        <w:br/>
        <w:t># Load raw dataset</w:t>
        <w:br/>
        <w:t>df = pd.read_csv('retail_sales_dataset.csv')</w:t>
        <w:br/>
        <w:br/>
        <w:t># 1. Handling Missing Values</w:t>
        <w:br/>
        <w:t>print("Missing values per column:\n", df.isnull().sum())</w:t>
        <w:br/>
        <w:br/>
        <w:t># 2. Removing Duplicate Records</w:t>
        <w:br/>
        <w:t>print("Duplicate rows count:", df.duplicated().sum())</w:t>
        <w:br/>
        <w:br/>
        <w:t># 3. Data Transformation &amp; Feature Engineering</w:t>
        <w:br/>
        <w:t>df['Date'] = pd.to_datetime(df['Date'])</w:t>
        <w:br/>
        <w:t>df['Year'] = df['Date'].dt.year</w:t>
        <w:br/>
        <w:t>df['Month'] = df['Date'].dt.month</w:t>
        <w:br/>
        <w:t>df['Month_Name'] = df['Date'].dt.strftime('%b')</w:t>
        <w:br/>
        <w:t>df['DayOfWeek'] = df['Date'].dt.day_name()</w:t>
        <w:br/>
        <w:br/>
        <w:t># 4. Encoding Categorical Data</w:t>
        <w:br/>
        <w:t>le_gender = LabelEncoder()</w:t>
        <w:br/>
        <w:t>df['Gender_Encoded'] = le_gender.fit_transform(df['Gender'])</w:t>
        <w:br/>
        <w:br/>
        <w:t>le_category = LabelEncoder()</w:t>
        <w:br/>
        <w:t>df['Category_Encoded'] = le_category.fit_transform(df['Product Category'])</w:t>
        <w:br/>
        <w:br/>
        <w:t># 5. Data Normalization / Standardization</w:t>
        <w:br/>
        <w:t>scaler = StandardScaler()</w:t>
        <w:br/>
        <w:t>scaled_features = scaler.fit_transform(df[['Age', 'Quantity', 'Price per Unit', 'Total Amount']])</w:t>
        <w:br/>
      </w:r>
    </w:p>
    <w:p>
      <w:pPr>
        <w:spacing w:before="200" w:after="80"/>
      </w:pPr>
      <w:r>
        <w:rPr>
          <w:b/>
          <w:color w:val="2D3748"/>
          <w:sz w:val="24"/>
        </w:rPr>
        <w:t>Preprocessing Actions Taken:</w:t>
      </w:r>
    </w:p>
    <w:p>
      <w:pPr>
        <w:spacing w:after="120"/>
      </w:pPr>
      <w:r>
        <w:t xml:space="preserve">1. </w:t>
      </w:r>
      <w:r>
        <w:rPr>
          <w:b/>
        </w:rPr>
        <w:t>Handling Missing Values:</w:t>
      </w:r>
      <w:r>
        <w:t xml:space="preserve"> Inspected all 9 attributes. Zero (0) null/missing values were detected across all 1,000 records.</w:t>
      </w:r>
    </w:p>
    <w:p>
      <w:pPr>
        <w:spacing w:after="120"/>
      </w:pPr>
      <w:r>
        <w:t xml:space="preserve">2. </w:t>
      </w:r>
      <w:r>
        <w:rPr>
          <w:b/>
        </w:rPr>
        <w:t>Removing Duplicate Records:</w:t>
      </w:r>
      <w:r>
        <w:t xml:space="preserve"> Executed duplicate check across rows. Zero (0) duplicate rows were found.</w:t>
      </w:r>
    </w:p>
    <w:p>
      <w:pPr>
        <w:spacing w:after="120"/>
      </w:pPr>
      <w:r>
        <w:t xml:space="preserve">3. </w:t>
      </w:r>
      <w:r>
        <w:rPr>
          <w:b/>
        </w:rPr>
        <w:t>Data Transformation:</w:t>
      </w:r>
      <w:r>
        <w:t xml:space="preserve"> Parsed string dates into </w:t>
      </w:r>
      <w:r>
        <w:rPr>
          <w:rFonts w:ascii="Consolas" w:hAnsi="Consolas"/>
          <w:sz w:val="19"/>
        </w:rPr>
        <w:t>datetime</w:t>
      </w:r>
      <w:r>
        <w:t xml:space="preserve"> objects and derived temporal dimensions (</w:t>
      </w:r>
      <w:r>
        <w:rPr>
          <w:rFonts w:ascii="Consolas" w:hAnsi="Consolas"/>
          <w:sz w:val="19"/>
        </w:rPr>
        <w:t>Month</w:t>
      </w:r>
      <w:r>
        <w:t xml:space="preserve">, </w:t>
      </w:r>
      <w:r>
        <w:rPr>
          <w:rFonts w:ascii="Consolas" w:hAnsi="Consolas"/>
          <w:sz w:val="19"/>
        </w:rPr>
        <w:t>Month_Name</w:t>
      </w:r>
      <w:r>
        <w:t xml:space="preserve">, </w:t>
      </w:r>
      <w:r>
        <w:rPr>
          <w:rFonts w:ascii="Consolas" w:hAnsi="Consolas"/>
          <w:sz w:val="19"/>
        </w:rPr>
        <w:t>DayOfWeek</w:t>
      </w:r>
      <w:r>
        <w:t>).</w:t>
      </w:r>
    </w:p>
    <w:p>
      <w:pPr>
        <w:spacing w:after="120"/>
      </w:pPr>
      <w:r>
        <w:t xml:space="preserve">4. </w:t>
      </w:r>
      <w:r>
        <w:rPr>
          <w:b/>
        </w:rPr>
        <w:t>Encoding Categorical Data:</w:t>
      </w:r>
      <w:r>
        <w:t xml:space="preserve"> Applied Label Encoding to </w:t>
      </w:r>
      <w:r>
        <w:rPr>
          <w:rFonts w:ascii="Consolas" w:hAnsi="Consolas"/>
          <w:sz w:val="19"/>
        </w:rPr>
        <w:t>Gender</w:t>
      </w:r>
      <w:r>
        <w:t xml:space="preserve"> (</w:t>
      </w:r>
      <w:r>
        <w:rPr>
          <w:rFonts w:ascii="Consolas" w:hAnsi="Consolas"/>
          <w:sz w:val="19"/>
        </w:rPr>
        <w:t>Female</w:t>
      </w:r>
      <w:r>
        <w:t xml:space="preserve"> = 0, </w:t>
      </w:r>
      <w:r>
        <w:rPr>
          <w:rFonts w:ascii="Consolas" w:hAnsi="Consolas"/>
          <w:sz w:val="19"/>
        </w:rPr>
        <w:t>Male</w:t>
      </w:r>
      <w:r>
        <w:t xml:space="preserve"> = 1) and </w:t>
      </w:r>
      <w:r>
        <w:rPr>
          <w:rFonts w:ascii="Consolas" w:hAnsi="Consolas"/>
          <w:sz w:val="19"/>
        </w:rPr>
        <w:t>Product Category</w:t>
      </w:r>
      <w:r>
        <w:t xml:space="preserve"> (</w:t>
      </w:r>
      <w:r>
        <w:rPr>
          <w:rFonts w:ascii="Consolas" w:hAnsi="Consolas"/>
          <w:sz w:val="19"/>
        </w:rPr>
        <w:t>Beauty</w:t>
      </w:r>
      <w:r>
        <w:t xml:space="preserve"> = 0, </w:t>
      </w:r>
      <w:r>
        <w:rPr>
          <w:rFonts w:ascii="Consolas" w:hAnsi="Consolas"/>
          <w:sz w:val="19"/>
        </w:rPr>
        <w:t>Clothing</w:t>
      </w:r>
      <w:r>
        <w:t xml:space="preserve"> = 1, </w:t>
      </w:r>
      <w:r>
        <w:rPr>
          <w:rFonts w:ascii="Consolas" w:hAnsi="Consolas"/>
          <w:sz w:val="19"/>
        </w:rPr>
        <w:t>Electronics</w:t>
      </w:r>
      <w:r>
        <w:t xml:space="preserve"> = 2).</w:t>
      </w:r>
    </w:p>
    <w:p>
      <w:pPr>
        <w:spacing w:after="120"/>
      </w:pPr>
      <w:r>
        <w:t xml:space="preserve">5. </w:t>
      </w:r>
      <w:r>
        <w:rPr>
          <w:b/>
        </w:rPr>
        <w:t>Data Standardization:</w:t>
      </w:r>
      <w:r>
        <w:t xml:space="preserve"> Scaled continuous numerical features (</w:t>
      </w:r>
      <w:r>
        <w:rPr>
          <w:rFonts w:ascii="Consolas" w:hAnsi="Consolas"/>
          <w:sz w:val="19"/>
        </w:rPr>
        <w:t>Age</w:t>
      </w:r>
      <w:r>
        <w:t xml:space="preserve">, </w:t>
      </w:r>
      <w:r>
        <w:rPr>
          <w:rFonts w:ascii="Consolas" w:hAnsi="Consolas"/>
          <w:sz w:val="19"/>
        </w:rPr>
        <w:t>Quantity</w:t>
      </w:r>
      <w:r>
        <w:t xml:space="preserve">, </w:t>
      </w:r>
      <w:r>
        <w:rPr>
          <w:rFonts w:ascii="Consolas" w:hAnsi="Consolas"/>
          <w:sz w:val="19"/>
        </w:rPr>
        <w:t>Price per Unit</w:t>
      </w:r>
      <w:r>
        <w:t xml:space="preserve">, </w:t>
      </w:r>
      <w:r>
        <w:rPr>
          <w:rFonts w:ascii="Consolas" w:hAnsi="Consolas"/>
          <w:sz w:val="19"/>
        </w:rPr>
        <w:t>Total Amount</w:t>
      </w:r>
      <w:r>
        <w:t xml:space="preserve">) using </w:t>
      </w:r>
      <w:r>
        <w:rPr>
          <w:rFonts w:ascii="Consolas" w:hAnsi="Consolas"/>
          <w:sz w:val="19"/>
        </w:rPr>
        <w:t>StandardScaler</w:t>
      </w:r>
      <w:r>
        <w:t xml:space="preserve"> ($\mu = 0, \sigma = 1$) to eliminate scale bias during clustering and regression.</w:t>
      </w:r>
    </w:p>
    <w:p>
      <w:pPr>
        <w:spacing w:before="280" w:after="120"/>
      </w:pPr>
      <w:r>
        <w:rPr>
          <w:b/>
          <w:color w:val="2B6CB0"/>
          <w:sz w:val="30"/>
        </w:rPr>
        <w:t>6. Basic Exploratory Data Analysis (EDA)</w:t>
      </w:r>
    </w:p>
    <w:p>
      <w:pPr>
        <w:spacing w:before="200" w:after="80"/>
      </w:pPr>
      <w:r>
        <w:rPr>
          <w:b/>
          <w:color w:val="2D3748"/>
          <w:sz w:val="24"/>
        </w:rPr>
        <w:t>A. Dataset Overview &amp; Summary Statistics</w:t>
      </w:r>
    </w:p>
    <w:p>
      <w:pPr>
        <w:spacing w:before="120" w:after="120"/>
        <w:ind w:left="288"/>
      </w:pPr>
      <w:r>
        <w:rPr>
          <w:rFonts w:ascii="Consolas" w:hAnsi="Consolas"/>
          <w:color w:val="1A202C"/>
          <w:sz w:val="19"/>
        </w:rPr>
        <w:t>Total Records: 1,000</w:t>
        <w:br/>
        <w:t>Total Attributes: 9 (Expanded to 13 after feature derivation &amp; encoding)</w:t>
        <w:br/>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2B6CB0"/>
          </w:tcPr>
          <w:p>
            <w:pPr>
              <w:spacing w:before="80" w:after="80"/>
            </w:pPr>
            <w:r>
              <w:rPr>
                <w:b/>
                <w:color w:val="FFFFFF"/>
                <w:sz w:val="20"/>
              </w:rPr>
              <w:t>Metric</w:t>
            </w:r>
          </w:p>
        </w:tc>
        <w:tc>
          <w:tcPr>
            <w:tcW w:type="dxa" w:w="1872"/>
            <w:shd w:val="clear" w:color="auto" w:fill="2B6CB0"/>
          </w:tcPr>
          <w:p>
            <w:pPr>
              <w:spacing w:before="80" w:after="80"/>
            </w:pPr>
            <w:r>
              <w:rPr>
                <w:b/>
                <w:color w:val="FFFFFF"/>
                <w:sz w:val="20"/>
              </w:rPr>
              <w:t>Age</w:t>
            </w:r>
          </w:p>
        </w:tc>
        <w:tc>
          <w:tcPr>
            <w:tcW w:type="dxa" w:w="1872"/>
            <w:shd w:val="clear" w:color="auto" w:fill="2B6CB0"/>
          </w:tcPr>
          <w:p>
            <w:pPr>
              <w:spacing w:before="80" w:after="80"/>
            </w:pPr>
            <w:r>
              <w:rPr>
                <w:b/>
                <w:color w:val="FFFFFF"/>
                <w:sz w:val="20"/>
              </w:rPr>
              <w:t>Quantity</w:t>
            </w:r>
          </w:p>
        </w:tc>
        <w:tc>
          <w:tcPr>
            <w:tcW w:type="dxa" w:w="1872"/>
            <w:shd w:val="clear" w:color="auto" w:fill="2B6CB0"/>
          </w:tcPr>
          <w:p>
            <w:pPr>
              <w:spacing w:before="80" w:after="80"/>
            </w:pPr>
            <w:r>
              <w:rPr>
                <w:b/>
                <w:color w:val="FFFFFF"/>
                <w:sz w:val="20"/>
              </w:rPr>
              <w:t>Price per Unit ($)</w:t>
            </w:r>
          </w:p>
        </w:tc>
        <w:tc>
          <w:tcPr>
            <w:tcW w:type="dxa" w:w="1872"/>
            <w:shd w:val="clear" w:color="auto" w:fill="2B6CB0"/>
          </w:tcPr>
          <w:p>
            <w:pPr>
              <w:spacing w:before="80" w:after="80"/>
            </w:pPr>
            <w:r>
              <w:rPr>
                <w:b/>
                <w:color w:val="FFFFFF"/>
                <w:sz w:val="20"/>
              </w:rPr>
              <w:t>Total Amount ($)</w:t>
            </w:r>
          </w:p>
        </w:tc>
      </w:tr>
      <w:tr>
        <w:tc>
          <w:tcPr>
            <w:tcW w:type="dxa" w:w="1872"/>
          </w:tcPr>
          <w:p>
            <w:pPr>
              <w:spacing w:before="80" w:after="80"/>
            </w:pPr>
            <w:r>
              <w:rPr>
                <w:sz w:val="19"/>
              </w:rPr>
              <w:t>Mean</w:t>
            </w:r>
          </w:p>
        </w:tc>
        <w:tc>
          <w:tcPr>
            <w:tcW w:type="dxa" w:w="1872"/>
          </w:tcPr>
          <w:p>
            <w:pPr>
              <w:spacing w:before="80" w:after="80"/>
            </w:pPr>
            <w:r>
              <w:rPr>
                <w:sz w:val="19"/>
              </w:rPr>
              <w:t>41.39</w:t>
            </w:r>
          </w:p>
        </w:tc>
        <w:tc>
          <w:tcPr>
            <w:tcW w:type="dxa" w:w="1872"/>
          </w:tcPr>
          <w:p>
            <w:pPr>
              <w:spacing w:before="80" w:after="80"/>
            </w:pPr>
            <w:r>
              <w:rPr>
                <w:sz w:val="19"/>
              </w:rPr>
              <w:t>2.51</w:t>
            </w:r>
          </w:p>
        </w:tc>
        <w:tc>
          <w:tcPr>
            <w:tcW w:type="dxa" w:w="1872"/>
          </w:tcPr>
          <w:p>
            <w:pPr>
              <w:spacing w:before="80" w:after="80"/>
            </w:pPr>
            <w:r>
              <w:rPr>
                <w:sz w:val="19"/>
              </w:rPr>
              <w:t>$179.89</w:t>
            </w:r>
          </w:p>
        </w:tc>
        <w:tc>
          <w:tcPr>
            <w:tcW w:type="dxa" w:w="1872"/>
          </w:tcPr>
          <w:p>
            <w:pPr>
              <w:spacing w:before="80" w:after="80"/>
            </w:pPr>
            <w:r>
              <w:rPr>
                <w:sz w:val="19"/>
              </w:rPr>
              <w:t>$456.00</w:t>
            </w:r>
          </w:p>
        </w:tc>
      </w:tr>
      <w:tr>
        <w:tc>
          <w:tcPr>
            <w:tcW w:type="dxa" w:w="1872"/>
            <w:shd w:val="clear" w:color="auto" w:fill="F7FAFC"/>
          </w:tcPr>
          <w:p>
            <w:pPr>
              <w:spacing w:before="80" w:after="80"/>
            </w:pPr>
            <w:r>
              <w:rPr>
                <w:sz w:val="19"/>
              </w:rPr>
              <w:t>Std Dev</w:t>
            </w:r>
          </w:p>
        </w:tc>
        <w:tc>
          <w:tcPr>
            <w:tcW w:type="dxa" w:w="1872"/>
            <w:shd w:val="clear" w:color="auto" w:fill="F7FAFC"/>
          </w:tcPr>
          <w:p>
            <w:pPr>
              <w:spacing w:before="80" w:after="80"/>
            </w:pPr>
            <w:r>
              <w:rPr>
                <w:sz w:val="19"/>
              </w:rPr>
              <w:t>13.68</w:t>
            </w:r>
          </w:p>
        </w:tc>
        <w:tc>
          <w:tcPr>
            <w:tcW w:type="dxa" w:w="1872"/>
            <w:shd w:val="clear" w:color="auto" w:fill="F7FAFC"/>
          </w:tcPr>
          <w:p>
            <w:pPr>
              <w:spacing w:before="80" w:after="80"/>
            </w:pPr>
            <w:r>
              <w:rPr>
                <w:sz w:val="19"/>
              </w:rPr>
              <w:t>1.12</w:t>
            </w:r>
          </w:p>
        </w:tc>
        <w:tc>
          <w:tcPr>
            <w:tcW w:type="dxa" w:w="1872"/>
            <w:shd w:val="clear" w:color="auto" w:fill="F7FAFC"/>
          </w:tcPr>
          <w:p>
            <w:pPr>
              <w:spacing w:before="80" w:after="80"/>
            </w:pPr>
            <w:r>
              <w:rPr>
                <w:sz w:val="19"/>
              </w:rPr>
              <w:t>$189.68</w:t>
            </w:r>
          </w:p>
        </w:tc>
        <w:tc>
          <w:tcPr>
            <w:tcW w:type="dxa" w:w="1872"/>
            <w:shd w:val="clear" w:color="auto" w:fill="F7FAFC"/>
          </w:tcPr>
          <w:p>
            <w:pPr>
              <w:spacing w:before="80" w:after="80"/>
            </w:pPr>
            <w:r>
              <w:rPr>
                <w:sz w:val="19"/>
              </w:rPr>
              <w:t>$459.99</w:t>
            </w:r>
          </w:p>
        </w:tc>
      </w:tr>
      <w:tr>
        <w:tc>
          <w:tcPr>
            <w:tcW w:type="dxa" w:w="1872"/>
          </w:tcPr>
          <w:p>
            <w:pPr>
              <w:spacing w:before="80" w:after="80"/>
            </w:pPr>
            <w:r>
              <w:rPr>
                <w:sz w:val="19"/>
              </w:rPr>
              <w:t>Min</w:t>
            </w:r>
          </w:p>
        </w:tc>
        <w:tc>
          <w:tcPr>
            <w:tcW w:type="dxa" w:w="1872"/>
          </w:tcPr>
          <w:p>
            <w:pPr>
              <w:spacing w:before="80" w:after="80"/>
            </w:pPr>
            <w:r>
              <w:rPr>
                <w:sz w:val="19"/>
              </w:rPr>
              <w:t>18.00</w:t>
            </w:r>
          </w:p>
        </w:tc>
        <w:tc>
          <w:tcPr>
            <w:tcW w:type="dxa" w:w="1872"/>
          </w:tcPr>
          <w:p>
            <w:pPr>
              <w:spacing w:before="80" w:after="80"/>
            </w:pPr>
            <w:r>
              <w:rPr>
                <w:sz w:val="19"/>
              </w:rPr>
              <w:t>1.00</w:t>
            </w:r>
          </w:p>
        </w:tc>
        <w:tc>
          <w:tcPr>
            <w:tcW w:type="dxa" w:w="1872"/>
          </w:tcPr>
          <w:p>
            <w:pPr>
              <w:spacing w:before="80" w:after="80"/>
            </w:pPr>
            <w:r>
              <w:rPr>
                <w:sz w:val="19"/>
              </w:rPr>
              <w:t>$25.00</w:t>
            </w:r>
          </w:p>
        </w:tc>
        <w:tc>
          <w:tcPr>
            <w:tcW w:type="dxa" w:w="1872"/>
          </w:tcPr>
          <w:p>
            <w:pPr>
              <w:spacing w:before="80" w:after="80"/>
            </w:pPr>
            <w:r>
              <w:rPr>
                <w:sz w:val="19"/>
              </w:rPr>
              <w:t>$25.00</w:t>
            </w:r>
          </w:p>
        </w:tc>
      </w:tr>
      <w:tr>
        <w:tc>
          <w:tcPr>
            <w:tcW w:type="dxa" w:w="1872"/>
            <w:shd w:val="clear" w:color="auto" w:fill="F7FAFC"/>
          </w:tcPr>
          <w:p>
            <w:pPr>
              <w:spacing w:before="80" w:after="80"/>
            </w:pPr>
            <w:r>
              <w:rPr>
                <w:sz w:val="19"/>
              </w:rPr>
              <w:t>25% (Q1)</w:t>
            </w:r>
          </w:p>
        </w:tc>
        <w:tc>
          <w:tcPr>
            <w:tcW w:type="dxa" w:w="1872"/>
            <w:shd w:val="clear" w:color="auto" w:fill="F7FAFC"/>
          </w:tcPr>
          <w:p>
            <w:pPr>
              <w:spacing w:before="80" w:after="80"/>
            </w:pPr>
            <w:r>
              <w:rPr>
                <w:sz w:val="19"/>
              </w:rPr>
              <w:t>29.00</w:t>
            </w:r>
          </w:p>
        </w:tc>
        <w:tc>
          <w:tcPr>
            <w:tcW w:type="dxa" w:w="1872"/>
            <w:shd w:val="clear" w:color="auto" w:fill="F7FAFC"/>
          </w:tcPr>
          <w:p>
            <w:pPr>
              <w:spacing w:before="80" w:after="80"/>
            </w:pPr>
            <w:r>
              <w:rPr>
                <w:sz w:val="19"/>
              </w:rPr>
              <w:t>1.00</w:t>
            </w:r>
          </w:p>
        </w:tc>
        <w:tc>
          <w:tcPr>
            <w:tcW w:type="dxa" w:w="1872"/>
            <w:shd w:val="clear" w:color="auto" w:fill="F7FAFC"/>
          </w:tcPr>
          <w:p>
            <w:pPr>
              <w:spacing w:before="80" w:after="80"/>
            </w:pPr>
            <w:r>
              <w:rPr>
                <w:sz w:val="19"/>
              </w:rPr>
              <w:t>$30.00</w:t>
            </w:r>
          </w:p>
        </w:tc>
        <w:tc>
          <w:tcPr>
            <w:tcW w:type="dxa" w:w="1872"/>
            <w:shd w:val="clear" w:color="auto" w:fill="F7FAFC"/>
          </w:tcPr>
          <w:p>
            <w:pPr>
              <w:spacing w:before="80" w:after="80"/>
            </w:pPr>
            <w:r>
              <w:rPr>
                <w:sz w:val="19"/>
              </w:rPr>
              <w:t>$60.00</w:t>
            </w:r>
          </w:p>
        </w:tc>
      </w:tr>
      <w:tr>
        <w:tc>
          <w:tcPr>
            <w:tcW w:type="dxa" w:w="1872"/>
          </w:tcPr>
          <w:p>
            <w:pPr>
              <w:spacing w:before="80" w:after="80"/>
            </w:pPr>
            <w:r>
              <w:rPr>
                <w:sz w:val="19"/>
              </w:rPr>
              <w:t>50% (Median)</w:t>
            </w:r>
          </w:p>
        </w:tc>
        <w:tc>
          <w:tcPr>
            <w:tcW w:type="dxa" w:w="1872"/>
          </w:tcPr>
          <w:p>
            <w:pPr>
              <w:spacing w:before="80" w:after="80"/>
            </w:pPr>
            <w:r>
              <w:rPr>
                <w:sz w:val="19"/>
              </w:rPr>
              <w:t>42.00</w:t>
            </w:r>
          </w:p>
        </w:tc>
        <w:tc>
          <w:tcPr>
            <w:tcW w:type="dxa" w:w="1872"/>
          </w:tcPr>
          <w:p>
            <w:pPr>
              <w:spacing w:before="80" w:after="80"/>
            </w:pPr>
            <w:r>
              <w:rPr>
                <w:sz w:val="19"/>
              </w:rPr>
              <w:t>3.00</w:t>
            </w:r>
          </w:p>
        </w:tc>
        <w:tc>
          <w:tcPr>
            <w:tcW w:type="dxa" w:w="1872"/>
          </w:tcPr>
          <w:p>
            <w:pPr>
              <w:spacing w:before="80" w:after="80"/>
            </w:pPr>
            <w:r>
              <w:rPr>
                <w:sz w:val="19"/>
              </w:rPr>
              <w:t>$50.00</w:t>
            </w:r>
          </w:p>
        </w:tc>
        <w:tc>
          <w:tcPr>
            <w:tcW w:type="dxa" w:w="1872"/>
          </w:tcPr>
          <w:p>
            <w:pPr>
              <w:spacing w:before="80" w:after="80"/>
            </w:pPr>
            <w:r>
              <w:rPr>
                <w:sz w:val="19"/>
              </w:rPr>
              <w:t>$135.00</w:t>
            </w:r>
          </w:p>
        </w:tc>
      </w:tr>
      <w:tr>
        <w:tc>
          <w:tcPr>
            <w:tcW w:type="dxa" w:w="1872"/>
            <w:shd w:val="clear" w:color="auto" w:fill="F7FAFC"/>
          </w:tcPr>
          <w:p>
            <w:pPr>
              <w:spacing w:before="80" w:after="80"/>
            </w:pPr>
            <w:r>
              <w:rPr>
                <w:sz w:val="19"/>
              </w:rPr>
              <w:t>75% (Q3)</w:t>
            </w:r>
          </w:p>
        </w:tc>
        <w:tc>
          <w:tcPr>
            <w:tcW w:type="dxa" w:w="1872"/>
            <w:shd w:val="clear" w:color="auto" w:fill="F7FAFC"/>
          </w:tcPr>
          <w:p>
            <w:pPr>
              <w:spacing w:before="80" w:after="80"/>
            </w:pPr>
            <w:r>
              <w:rPr>
                <w:sz w:val="19"/>
              </w:rPr>
              <w:t>53.00</w:t>
            </w:r>
          </w:p>
        </w:tc>
        <w:tc>
          <w:tcPr>
            <w:tcW w:type="dxa" w:w="1872"/>
            <w:shd w:val="clear" w:color="auto" w:fill="F7FAFC"/>
          </w:tcPr>
          <w:p>
            <w:pPr>
              <w:spacing w:before="80" w:after="80"/>
            </w:pPr>
            <w:r>
              <w:rPr>
                <w:sz w:val="19"/>
              </w:rPr>
              <w:t>4.00</w:t>
            </w:r>
          </w:p>
        </w:tc>
        <w:tc>
          <w:tcPr>
            <w:tcW w:type="dxa" w:w="1872"/>
            <w:shd w:val="clear" w:color="auto" w:fill="F7FAFC"/>
          </w:tcPr>
          <w:p>
            <w:pPr>
              <w:spacing w:before="80" w:after="80"/>
            </w:pPr>
            <w:r>
              <w:rPr>
                <w:sz w:val="19"/>
              </w:rPr>
              <w:t>$300.00</w:t>
            </w:r>
          </w:p>
        </w:tc>
        <w:tc>
          <w:tcPr>
            <w:tcW w:type="dxa" w:w="1872"/>
            <w:shd w:val="clear" w:color="auto" w:fill="F7FAFC"/>
          </w:tcPr>
          <w:p>
            <w:pPr>
              <w:spacing w:before="80" w:after="80"/>
            </w:pPr>
            <w:r>
              <w:rPr>
                <w:sz w:val="19"/>
              </w:rPr>
              <w:t>$500.00</w:t>
            </w:r>
          </w:p>
        </w:tc>
      </w:tr>
      <w:tr>
        <w:tc>
          <w:tcPr>
            <w:tcW w:type="dxa" w:w="1872"/>
          </w:tcPr>
          <w:p>
            <w:pPr>
              <w:spacing w:before="80" w:after="80"/>
            </w:pPr>
            <w:r>
              <w:rPr>
                <w:sz w:val="19"/>
              </w:rPr>
              <w:t>Max</w:t>
            </w:r>
          </w:p>
        </w:tc>
        <w:tc>
          <w:tcPr>
            <w:tcW w:type="dxa" w:w="1872"/>
          </w:tcPr>
          <w:p>
            <w:pPr>
              <w:spacing w:before="80" w:after="80"/>
            </w:pPr>
            <w:r>
              <w:rPr>
                <w:sz w:val="19"/>
              </w:rPr>
              <w:t>64.00</w:t>
            </w:r>
          </w:p>
        </w:tc>
        <w:tc>
          <w:tcPr>
            <w:tcW w:type="dxa" w:w="1872"/>
          </w:tcPr>
          <w:p>
            <w:pPr>
              <w:spacing w:before="80" w:after="80"/>
            </w:pPr>
            <w:r>
              <w:rPr>
                <w:sz w:val="19"/>
              </w:rPr>
              <w:t>4.00</w:t>
            </w:r>
          </w:p>
        </w:tc>
        <w:tc>
          <w:tcPr>
            <w:tcW w:type="dxa" w:w="1872"/>
          </w:tcPr>
          <w:p>
            <w:pPr>
              <w:spacing w:before="80" w:after="80"/>
            </w:pPr>
            <w:r>
              <w:rPr>
                <w:sz w:val="19"/>
              </w:rPr>
              <w:t>$500.00</w:t>
            </w:r>
          </w:p>
        </w:tc>
        <w:tc>
          <w:tcPr>
            <w:tcW w:type="dxa" w:w="1872"/>
          </w:tcPr>
          <w:p>
            <w:pPr>
              <w:spacing w:before="80" w:after="80"/>
            </w:pPr>
            <w:r>
              <w:rPr>
                <w:sz w:val="19"/>
              </w:rPr>
              <w:t>$2,000.00</w:t>
            </w:r>
          </w:p>
        </w:tc>
      </w:tr>
    </w:tbl>
    <w:p/>
    <w:p>
      <w:pPr>
        <w:spacing w:before="200" w:after="80"/>
      </w:pPr>
      <w:r>
        <w:rPr>
          <w:b/>
          <w:color w:val="2D3748"/>
          <w:sz w:val="24"/>
        </w:rPr>
        <w:t>B. Missing Value Analysis</w:t>
      </w:r>
    </w:p>
    <w:p>
      <w:pPr>
        <w:pStyle w:val="ListBullet"/>
        <w:spacing w:after="60"/>
      </w:pPr>
      <w:r>
        <w:t>Total null entries = 0 (100% data completeness).</w:t>
      </w:r>
    </w:p>
    <w:p>
      <w:pPr>
        <w:spacing w:before="200" w:after="80"/>
      </w:pPr>
      <w:r>
        <w:rPr>
          <w:b/>
          <w:color w:val="2D3748"/>
          <w:sz w:val="24"/>
        </w:rPr>
        <w:t>C. Duplicate Data Analysis</w:t>
      </w:r>
    </w:p>
    <w:p>
      <w:pPr>
        <w:pStyle w:val="ListBullet"/>
        <w:spacing w:after="60"/>
      </w:pPr>
      <w:r>
        <w:t>Total duplicate rows = 0 (100% unique transaction entries).</w:t>
      </w:r>
    </w:p>
    <w:p>
      <w:pPr>
        <w:spacing w:before="200" w:after="80"/>
      </w:pPr>
      <w:r>
        <w:rPr>
          <w:b/>
          <w:color w:val="2D3748"/>
          <w:sz w:val="24"/>
        </w:rPr>
        <w:t>D. Correlation Analysis</w:t>
      </w:r>
    </w:p>
    <w:p>
      <w:pPr>
        <w:pStyle w:val="ListBullet"/>
        <w:spacing w:after="60"/>
      </w:pPr>
      <w:r>
        <w:t>`Quantity` vs `Total Amount`: Moderate positive correlation ($r \approx 0.374$).</w:t>
      </w:r>
    </w:p>
    <w:p>
      <w:pPr>
        <w:pStyle w:val="ListBullet"/>
        <w:spacing w:after="60"/>
      </w:pPr>
      <w:r>
        <w:t>`Price per Unit` vs `Total Amount`: Strong positive correlation ($r \approx 0.852$).</w:t>
      </w:r>
    </w:p>
    <w:p>
      <w:pPr>
        <w:pStyle w:val="ListBullet"/>
        <w:spacing w:after="60"/>
      </w:pPr>
      <w:r>
        <w:t>`Age` vs `Total Amount`: Negligible correlation ($r \approx -0.060$).</w:t>
      </w:r>
    </w:p>
    <w:p>
      <w:pPr>
        <w:spacing w:before="200" w:after="80"/>
      </w:pPr>
      <w:r>
        <w:rPr>
          <w:b/>
          <w:color w:val="2D3748"/>
          <w:sz w:val="24"/>
        </w:rPr>
        <w:t>E. Feature Distribution Analysis</w:t>
      </w:r>
    </w:p>
    <w:p>
      <w:pPr>
        <w:pStyle w:val="ListBullet"/>
        <w:spacing w:after="60"/>
      </w:pPr>
      <w:r/>
      <w:r>
        <w:rPr>
          <w:b/>
        </w:rPr>
        <w:t>Gender:</w:t>
      </w:r>
      <w:r>
        <w:t xml:space="preserve"> 510 Females (51.0%) vs 490 Males (49.0%).</w:t>
      </w:r>
    </w:p>
    <w:p>
      <w:pPr>
        <w:pStyle w:val="ListBullet"/>
        <w:spacing w:after="60"/>
      </w:pPr>
      <w:r/>
      <w:r>
        <w:rPr>
          <w:b/>
        </w:rPr>
        <w:t>Product Category Revenue:</w:t>
      </w:r>
      <w:r/>
    </w:p>
    <w:p>
      <w:pPr>
        <w:pStyle w:val="ListBullet"/>
        <w:spacing w:after="60"/>
      </w:pPr>
      <w:r>
        <w:t>`Electronics`: $156,905 (34.4%)</w:t>
      </w:r>
    </w:p>
    <w:p>
      <w:pPr>
        <w:pStyle w:val="ListBullet"/>
        <w:spacing w:after="60"/>
      </w:pPr>
      <w:r>
        <w:t>`Clothing`: $155,580 (34.1%)</w:t>
      </w:r>
    </w:p>
    <w:p>
      <w:pPr>
        <w:pStyle w:val="ListBullet"/>
        <w:spacing w:after="60"/>
      </w:pPr>
      <w:r>
        <w:t>`Beauty`: $143,515 (31.5%)</w:t>
      </w:r>
    </w:p>
    <w:p>
      <w:pPr>
        <w:spacing w:before="200" w:after="80"/>
      </w:pPr>
      <w:r>
        <w:rPr>
          <w:b/>
          <w:color w:val="2D3748"/>
          <w:sz w:val="24"/>
        </w:rPr>
        <w:t>F. Outlier Detection</w:t>
      </w:r>
    </w:p>
    <w:p>
      <w:pPr>
        <w:pStyle w:val="ListBullet"/>
        <w:spacing w:after="60"/>
      </w:pPr>
      <w:r>
        <w:t>Box plots of `Total Amount` across product categories reveal transaction values up to $2,000. These represent legitimate multi-unit purchases of high-priced electronics ($500 unit price × 4 units) rather than invalid data errors.</w:t>
      </w:r>
    </w:p>
    <w:p>
      <w:pPr>
        <w:spacing w:before="280" w:after="120"/>
      </w:pPr>
      <w:r>
        <w:rPr>
          <w:b/>
          <w:color w:val="2B6CB0"/>
          <w:sz w:val="30"/>
        </w:rPr>
        <w:t>7. Data Visualization</w:t>
      </w:r>
    </w:p>
    <w:p>
      <w:pPr>
        <w:spacing w:after="120"/>
      </w:pPr>
      <w:r>
        <w:t>Eight (8) comprehensive data visualizations were constructed to analyze customer purchases from multiple perspectives.</w:t>
      </w:r>
    </w:p>
    <w:p>
      <w:pPr>
        <w:spacing w:before="200" w:after="80"/>
      </w:pPr>
      <w:r>
        <w:rPr>
          <w:b/>
          <w:color w:val="2D3748"/>
          <w:sz w:val="24"/>
        </w:rPr>
        <w:t>7.1 Bar Chart – Total Revenue by Product Category</w:t>
      </w:r>
    </w:p>
    <w:p>
      <w:pPr>
        <w:spacing w:after="240"/>
        <w:jc w:val="center"/>
      </w:pPr>
      <w:r>
        <w:drawing>
          <wp:inline xmlns:a="http://schemas.openxmlformats.org/drawingml/2006/main" xmlns:pic="http://schemas.openxmlformats.org/drawingml/2006/picture">
            <wp:extent cx="5029200" cy="3143250"/>
            <wp:docPr id="1" name="Picture 1"/>
            <wp:cNvGraphicFramePr>
              <a:graphicFrameLocks noChangeAspect="1"/>
            </wp:cNvGraphicFramePr>
            <a:graphic>
              <a:graphicData uri="http://schemas.openxmlformats.org/drawingml/2006/picture">
                <pic:pic>
                  <pic:nvPicPr>
                    <pic:cNvPr id="0" name="01_bar_sales_by_category.png"/>
                    <pic:cNvPicPr/>
                  </pic:nvPicPr>
                  <pic:blipFill>
                    <a:blip r:embed="rId9"/>
                    <a:stretch>
                      <a:fillRect/>
                    </a:stretch>
                  </pic:blipFill>
                  <pic:spPr>
                    <a:xfrm>
                      <a:off x="0" y="0"/>
                      <a:ext cx="5029200" cy="3143250"/>
                    </a:xfrm>
                    <a:prstGeom prst="rect"/>
                  </pic:spPr>
                </pic:pic>
              </a:graphicData>
            </a:graphic>
          </wp:inline>
        </w:drawing>
      </w:r>
    </w:p>
    <w:p>
      <w:pPr>
        <w:spacing w:after="120"/>
      </w:pPr>
      <w:r/>
      <w:r>
        <w:rPr>
          <w:i/>
        </w:rPr>
        <w:t>Description:</w:t>
      </w:r>
      <w:r>
        <w:t xml:space="preserve"> Illustrates total gross sales revenue per category. </w:t>
      </w:r>
      <w:r>
        <w:rPr>
          <w:rFonts w:ascii="Consolas" w:hAnsi="Consolas"/>
          <w:sz w:val="19"/>
        </w:rPr>
        <w:t>Electronics</w:t>
      </w:r>
      <w:r>
        <w:t xml:space="preserve"> leads with $156,905, closely followed by </w:t>
      </w:r>
      <w:r>
        <w:rPr>
          <w:rFonts w:ascii="Consolas" w:hAnsi="Consolas"/>
          <w:sz w:val="19"/>
        </w:rPr>
        <w:t>Clothing</w:t>
      </w:r>
      <w:r>
        <w:t xml:space="preserve"> ($155,580) and </w:t>
      </w:r>
      <w:r>
        <w:rPr>
          <w:rFonts w:ascii="Consolas" w:hAnsi="Consolas"/>
          <w:sz w:val="19"/>
        </w:rPr>
        <w:t>Beauty</w:t>
      </w:r>
      <w:r>
        <w:t xml:space="preserve"> ($143,515).</w:t>
      </w:r>
    </w:p>
    <w:p>
      <w:pPr>
        <w:spacing w:before="200" w:after="80"/>
      </w:pPr>
      <w:r>
        <w:rPr>
          <w:b/>
          <w:color w:val="2D3748"/>
          <w:sz w:val="24"/>
        </w:rPr>
        <w:t>7.2 Line Chart – 2023 Monthly Sales Trend</w:t>
      </w:r>
    </w:p>
    <w:p>
      <w:pPr>
        <w:spacing w:after="240"/>
        <w:jc w:val="center"/>
      </w:pPr>
      <w:r>
        <w:drawing>
          <wp:inline xmlns:a="http://schemas.openxmlformats.org/drawingml/2006/main" xmlns:pic="http://schemas.openxmlformats.org/drawingml/2006/picture">
            <wp:extent cx="5029200" cy="2514600"/>
            <wp:docPr id="2" name="Picture 2"/>
            <wp:cNvGraphicFramePr>
              <a:graphicFrameLocks noChangeAspect="1"/>
            </wp:cNvGraphicFramePr>
            <a:graphic>
              <a:graphicData uri="http://schemas.openxmlformats.org/drawingml/2006/picture">
                <pic:pic>
                  <pic:nvPicPr>
                    <pic:cNvPr id="0" name="02_line_monthly_sales.png"/>
                    <pic:cNvPicPr/>
                  </pic:nvPicPr>
                  <pic:blipFill>
                    <a:blip r:embed="rId10"/>
                    <a:stretch>
                      <a:fillRect/>
                    </a:stretch>
                  </pic:blipFill>
                  <pic:spPr>
                    <a:xfrm>
                      <a:off x="0" y="0"/>
                      <a:ext cx="5029200" cy="2514600"/>
                    </a:xfrm>
                    <a:prstGeom prst="rect"/>
                  </pic:spPr>
                </pic:pic>
              </a:graphicData>
            </a:graphic>
          </wp:inline>
        </w:drawing>
      </w:r>
    </w:p>
    <w:p>
      <w:pPr>
        <w:spacing w:after="120"/>
      </w:pPr>
      <w:r/>
      <w:r>
        <w:rPr>
          <w:i/>
        </w:rPr>
        <w:t>Description:</w:t>
      </w:r>
      <w:r>
        <w:t xml:space="preserve"> Demonstrates revenue fluctuations across months in 2023. Revenue peaks significantly in May ($53,150) and October ($46,580).</w:t>
      </w:r>
    </w:p>
    <w:p>
      <w:pPr>
        <w:spacing w:before="200" w:after="80"/>
      </w:pPr>
      <w:r>
        <w:rPr>
          <w:b/>
          <w:color w:val="2D3748"/>
          <w:sz w:val="24"/>
        </w:rPr>
        <w:t>7.3 Pie Chart – Gender Share of Transactions</w:t>
      </w:r>
    </w:p>
    <w:p>
      <w:pPr>
        <w:spacing w:after="240"/>
        <w:jc w:val="center"/>
      </w:pPr>
      <w:r>
        <w:drawing>
          <wp:inline xmlns:a="http://schemas.openxmlformats.org/drawingml/2006/main" xmlns:pic="http://schemas.openxmlformats.org/drawingml/2006/picture">
            <wp:extent cx="5029200" cy="5029200"/>
            <wp:docPr id="3" name="Picture 3"/>
            <wp:cNvGraphicFramePr>
              <a:graphicFrameLocks noChangeAspect="1"/>
            </wp:cNvGraphicFramePr>
            <a:graphic>
              <a:graphicData uri="http://schemas.openxmlformats.org/drawingml/2006/picture">
                <pic:pic>
                  <pic:nvPicPr>
                    <pic:cNvPr id="0" name="03_pie_gender_distribution.png"/>
                    <pic:cNvPicPr/>
                  </pic:nvPicPr>
                  <pic:blipFill>
                    <a:blip r:embed="rId11"/>
                    <a:stretch>
                      <a:fillRect/>
                    </a:stretch>
                  </pic:blipFill>
                  <pic:spPr>
                    <a:xfrm>
                      <a:off x="0" y="0"/>
                      <a:ext cx="5029200" cy="5029200"/>
                    </a:xfrm>
                    <a:prstGeom prst="rect"/>
                  </pic:spPr>
                </pic:pic>
              </a:graphicData>
            </a:graphic>
          </wp:inline>
        </w:drawing>
      </w:r>
    </w:p>
    <w:p>
      <w:pPr>
        <w:spacing w:after="120"/>
      </w:pPr>
      <w:r/>
      <w:r>
        <w:rPr>
          <w:i/>
        </w:rPr>
        <w:t>Description:</w:t>
      </w:r>
      <w:r>
        <w:t xml:space="preserve"> Highlights customer gender breakdown. Females account for 51.0% (510 transactions) while Males account for 49.0% (490 transactions).</w:t>
      </w:r>
    </w:p>
    <w:p>
      <w:pPr>
        <w:spacing w:before="200" w:after="80"/>
      </w:pPr>
      <w:r>
        <w:rPr>
          <w:b/>
          <w:color w:val="2D3748"/>
          <w:sz w:val="24"/>
        </w:rPr>
        <w:t>7.4 Histogram – Customer Age Distribution</w:t>
      </w:r>
    </w:p>
    <w:p>
      <w:pPr>
        <w:spacing w:after="240"/>
        <w:jc w:val="center"/>
      </w:pPr>
      <w:r>
        <w:drawing>
          <wp:inline xmlns:a="http://schemas.openxmlformats.org/drawingml/2006/main" xmlns:pic="http://schemas.openxmlformats.org/drawingml/2006/picture">
            <wp:extent cx="5029200" cy="3143250"/>
            <wp:docPr id="4" name="Picture 4"/>
            <wp:cNvGraphicFramePr>
              <a:graphicFrameLocks noChangeAspect="1"/>
            </wp:cNvGraphicFramePr>
            <a:graphic>
              <a:graphicData uri="http://schemas.openxmlformats.org/drawingml/2006/picture">
                <pic:pic>
                  <pic:nvPicPr>
                    <pic:cNvPr id="0" name="04_histogram_age_distribution.png"/>
                    <pic:cNvPicPr/>
                  </pic:nvPicPr>
                  <pic:blipFill>
                    <a:blip r:embed="rId12"/>
                    <a:stretch>
                      <a:fillRect/>
                    </a:stretch>
                  </pic:blipFill>
                  <pic:spPr>
                    <a:xfrm>
                      <a:off x="0" y="0"/>
                      <a:ext cx="5029200" cy="3143250"/>
                    </a:xfrm>
                    <a:prstGeom prst="rect"/>
                  </pic:spPr>
                </pic:pic>
              </a:graphicData>
            </a:graphic>
          </wp:inline>
        </w:drawing>
      </w:r>
    </w:p>
    <w:p>
      <w:pPr>
        <w:spacing w:after="120"/>
      </w:pPr>
      <w:r/>
      <w:r>
        <w:rPr>
          <w:i/>
        </w:rPr>
        <w:t>Description:</w:t>
      </w:r>
      <w:r>
        <w:t xml:space="preserve"> Visualizes customer age distribution overlaid with Kernel Density Estimation (KDE). The customer base spans evenly from 18 to 64 years.</w:t>
      </w:r>
    </w:p>
    <w:p>
      <w:pPr>
        <w:spacing w:before="200" w:after="80"/>
      </w:pPr>
      <w:r>
        <w:rPr>
          <w:b/>
          <w:color w:val="2D3748"/>
          <w:sz w:val="24"/>
        </w:rPr>
        <w:t>7.5 Box Plot – Total Amount Outlier Analysis by Category</w:t>
      </w:r>
    </w:p>
    <w:p>
      <w:pPr>
        <w:spacing w:after="240"/>
        <w:jc w:val="center"/>
      </w:pPr>
      <w:r>
        <w:drawing>
          <wp:inline xmlns:a="http://schemas.openxmlformats.org/drawingml/2006/main" xmlns:pic="http://schemas.openxmlformats.org/drawingml/2006/picture">
            <wp:extent cx="5029200" cy="3143250"/>
            <wp:docPr id="5" name="Picture 5"/>
            <wp:cNvGraphicFramePr>
              <a:graphicFrameLocks noChangeAspect="1"/>
            </wp:cNvGraphicFramePr>
            <a:graphic>
              <a:graphicData uri="http://schemas.openxmlformats.org/drawingml/2006/picture">
                <pic:pic>
                  <pic:nvPicPr>
                    <pic:cNvPr id="0" name="05_boxplot_total_amount_by_category.png"/>
                    <pic:cNvPicPr/>
                  </pic:nvPicPr>
                  <pic:blipFill>
                    <a:blip r:embed="rId13"/>
                    <a:stretch>
                      <a:fillRect/>
                    </a:stretch>
                  </pic:blipFill>
                  <pic:spPr>
                    <a:xfrm>
                      <a:off x="0" y="0"/>
                      <a:ext cx="5029200" cy="3143250"/>
                    </a:xfrm>
                    <a:prstGeom prst="rect"/>
                  </pic:spPr>
                </pic:pic>
              </a:graphicData>
            </a:graphic>
          </wp:inline>
        </w:drawing>
      </w:r>
    </w:p>
    <w:p>
      <w:pPr>
        <w:spacing w:after="120"/>
      </w:pPr>
      <w:r/>
      <w:r>
        <w:rPr>
          <w:i/>
        </w:rPr>
        <w:t>Description:</w:t>
      </w:r>
      <w:r>
        <w:t xml:space="preserve"> Examines total transaction value spread across categories. Shows consistent distribution bounds with maximum transaction amounts reaching $2,000.</w:t>
      </w:r>
    </w:p>
    <w:p>
      <w:pPr>
        <w:spacing w:before="200" w:after="80"/>
      </w:pPr>
      <w:r>
        <w:rPr>
          <w:b/>
          <w:color w:val="2D3748"/>
          <w:sz w:val="24"/>
        </w:rPr>
        <w:t>7.6 Scatter Plot – Price per Unit vs. Total Amount by Gender</w:t>
      </w:r>
    </w:p>
    <w:p>
      <w:pPr>
        <w:spacing w:after="240"/>
        <w:jc w:val="center"/>
      </w:pPr>
      <w:r>
        <w:drawing>
          <wp:inline xmlns:a="http://schemas.openxmlformats.org/drawingml/2006/main" xmlns:pic="http://schemas.openxmlformats.org/drawingml/2006/picture">
            <wp:extent cx="5029200" cy="3143250"/>
            <wp:docPr id="6" name="Picture 6"/>
            <wp:cNvGraphicFramePr>
              <a:graphicFrameLocks noChangeAspect="1"/>
            </wp:cNvGraphicFramePr>
            <a:graphic>
              <a:graphicData uri="http://schemas.openxmlformats.org/drawingml/2006/picture">
                <pic:pic>
                  <pic:nvPicPr>
                    <pic:cNvPr id="0" name="06_scatterplot_price_vs_total.png"/>
                    <pic:cNvPicPr/>
                  </pic:nvPicPr>
                  <pic:blipFill>
                    <a:blip r:embed="rId14"/>
                    <a:stretch>
                      <a:fillRect/>
                    </a:stretch>
                  </pic:blipFill>
                  <pic:spPr>
                    <a:xfrm>
                      <a:off x="0" y="0"/>
                      <a:ext cx="5029200" cy="3143250"/>
                    </a:xfrm>
                    <a:prstGeom prst="rect"/>
                  </pic:spPr>
                </pic:pic>
              </a:graphicData>
            </a:graphic>
          </wp:inline>
        </w:drawing>
      </w:r>
    </w:p>
    <w:p>
      <w:pPr>
        <w:spacing w:after="120"/>
      </w:pPr>
      <w:r/>
      <w:r>
        <w:rPr>
          <w:i/>
        </w:rPr>
        <w:t>Description:</w:t>
      </w:r>
      <w:r>
        <w:t xml:space="preserve"> Maps item unit price against total purchase amount, colored by gender. Confirms distinct pricing tiers ($25, $30, $50, $300, $500).</w:t>
      </w:r>
    </w:p>
    <w:p>
      <w:pPr>
        <w:spacing w:before="200" w:after="80"/>
      </w:pPr>
      <w:r>
        <w:rPr>
          <w:b/>
          <w:color w:val="2D3748"/>
          <w:sz w:val="24"/>
        </w:rPr>
        <w:t>7.7 Heatmap – Feature Correlation Matrix</w:t>
      </w:r>
    </w:p>
    <w:p>
      <w:pPr>
        <w:spacing w:after="240"/>
        <w:jc w:val="center"/>
      </w:pPr>
      <w:r>
        <w:drawing>
          <wp:inline xmlns:a="http://schemas.openxmlformats.org/drawingml/2006/main" xmlns:pic="http://schemas.openxmlformats.org/drawingml/2006/picture">
            <wp:extent cx="5029200" cy="3592286"/>
            <wp:docPr id="7" name="Picture 7"/>
            <wp:cNvGraphicFramePr>
              <a:graphicFrameLocks noChangeAspect="1"/>
            </wp:cNvGraphicFramePr>
            <a:graphic>
              <a:graphicData uri="http://schemas.openxmlformats.org/drawingml/2006/picture">
                <pic:pic>
                  <pic:nvPicPr>
                    <pic:cNvPr id="0" name="07_heatmap_correlation.png"/>
                    <pic:cNvPicPr/>
                  </pic:nvPicPr>
                  <pic:blipFill>
                    <a:blip r:embed="rId15"/>
                    <a:stretch>
                      <a:fillRect/>
                    </a:stretch>
                  </pic:blipFill>
                  <pic:spPr>
                    <a:xfrm>
                      <a:off x="0" y="0"/>
                      <a:ext cx="5029200" cy="3592286"/>
                    </a:xfrm>
                    <a:prstGeom prst="rect"/>
                  </pic:spPr>
                </pic:pic>
              </a:graphicData>
            </a:graphic>
          </wp:inline>
        </w:drawing>
      </w:r>
    </w:p>
    <w:p>
      <w:pPr>
        <w:spacing w:after="120"/>
      </w:pPr>
      <w:r/>
      <w:r>
        <w:rPr>
          <w:i/>
        </w:rPr>
        <w:t>Description:</w:t>
      </w:r>
      <w:r>
        <w:t xml:space="preserve"> Shows pairwise Pearson correlation coefficients among numerical attributes. Highlights strong correlation between </w:t>
      </w:r>
      <w:r>
        <w:rPr>
          <w:rFonts w:ascii="Consolas" w:hAnsi="Consolas"/>
          <w:sz w:val="19"/>
        </w:rPr>
        <w:t>Price per Unit</w:t>
      </w:r>
      <w:r>
        <w:t xml:space="preserve"> and </w:t>
      </w:r>
      <w:r>
        <w:rPr>
          <w:rFonts w:ascii="Consolas" w:hAnsi="Consolas"/>
          <w:sz w:val="19"/>
        </w:rPr>
        <w:t>Total Amount</w:t>
      </w:r>
      <w:r>
        <w:t xml:space="preserve"> ($r = 0.852$).</w:t>
      </w:r>
    </w:p>
    <w:p>
      <w:pPr>
        <w:spacing w:before="200" w:after="80"/>
      </w:pPr>
      <w:r>
        <w:rPr>
          <w:b/>
          <w:color w:val="2D3748"/>
          <w:sz w:val="24"/>
        </w:rPr>
        <w:t>7.8 Count Plot – Category Purchases Split by Gender</w:t>
      </w:r>
    </w:p>
    <w:p>
      <w:pPr>
        <w:spacing w:after="240"/>
        <w:jc w:val="center"/>
      </w:pPr>
      <w:r>
        <w:drawing>
          <wp:inline xmlns:a="http://schemas.openxmlformats.org/drawingml/2006/main" xmlns:pic="http://schemas.openxmlformats.org/drawingml/2006/picture">
            <wp:extent cx="5029200" cy="3143250"/>
            <wp:docPr id="8" name="Picture 8"/>
            <wp:cNvGraphicFramePr>
              <a:graphicFrameLocks noChangeAspect="1"/>
            </wp:cNvGraphicFramePr>
            <a:graphic>
              <a:graphicData uri="http://schemas.openxmlformats.org/drawingml/2006/picture">
                <pic:pic>
                  <pic:nvPicPr>
                    <pic:cNvPr id="0" name="08_countplot_category_by_gender.png"/>
                    <pic:cNvPicPr/>
                  </pic:nvPicPr>
                  <pic:blipFill>
                    <a:blip r:embed="rId16"/>
                    <a:stretch>
                      <a:fillRect/>
                    </a:stretch>
                  </pic:blipFill>
                  <pic:spPr>
                    <a:xfrm>
                      <a:off x="0" y="0"/>
                      <a:ext cx="5029200" cy="3143250"/>
                    </a:xfrm>
                    <a:prstGeom prst="rect"/>
                  </pic:spPr>
                </pic:pic>
              </a:graphicData>
            </a:graphic>
          </wp:inline>
        </w:drawing>
      </w:r>
    </w:p>
    <w:p>
      <w:pPr>
        <w:spacing w:after="120"/>
      </w:pPr>
      <w:r/>
      <w:r>
        <w:rPr>
          <w:i/>
        </w:rPr>
        <w:t>Description:</w:t>
      </w:r>
      <w:r>
        <w:t xml:space="preserve"> Compares purchase frequency per product category between male and female shoppers. Female customers make slightly higher purchases in </w:t>
      </w:r>
      <w:r>
        <w:rPr>
          <w:rFonts w:ascii="Consolas" w:hAnsi="Consolas"/>
          <w:sz w:val="19"/>
        </w:rPr>
        <w:t>Clothing</w:t>
      </w:r>
      <w:r>
        <w:t xml:space="preserve"> and </w:t>
      </w:r>
      <w:r>
        <w:rPr>
          <w:rFonts w:ascii="Consolas" w:hAnsi="Consolas"/>
          <w:sz w:val="19"/>
        </w:rPr>
        <w:t>Beauty</w:t>
      </w:r>
      <w:r>
        <w:t>.</w:t>
      </w:r>
    </w:p>
    <w:p>
      <w:pPr>
        <w:spacing w:before="280" w:after="120"/>
      </w:pPr>
      <w:r>
        <w:rPr>
          <w:b/>
          <w:color w:val="2B6CB0"/>
          <w:sz w:val="30"/>
        </w:rPr>
        <w:t>8. Data Mining Analysis</w:t>
      </w:r>
    </w:p>
    <w:p>
      <w:pPr>
        <w:spacing w:after="120"/>
      </w:pPr>
      <w:r>
        <w:t xml:space="preserve">Three core Data Mining techniques were implemented: </w:t>
      </w:r>
      <w:r>
        <w:rPr>
          <w:b/>
        </w:rPr>
        <w:t>Classification</w:t>
      </w:r>
      <w:r>
        <w:t xml:space="preserve">, </w:t>
      </w:r>
      <w:r>
        <w:rPr>
          <w:b/>
        </w:rPr>
        <w:t>Unsupervised Clustering</w:t>
      </w:r>
      <w:r>
        <w:t xml:space="preserve">, and </w:t>
      </w:r>
      <w:r>
        <w:rPr>
          <w:b/>
        </w:rPr>
        <w:t>Predictive Regression</w:t>
      </w:r>
      <w:r>
        <w:t>.</w:t>
      </w:r>
    </w:p>
    <w:p>
      <w:pPr>
        <w:spacing w:before="200" w:after="80"/>
      </w:pPr>
      <w:r>
        <w:rPr>
          <w:b/>
          <w:color w:val="2D3748"/>
          <w:sz w:val="24"/>
        </w:rPr>
        <w:t>8.1 Classification Analysis</w:t>
      </w:r>
    </w:p>
    <w:p>
      <w:pPr>
        <w:pStyle w:val="ListBullet"/>
        <w:spacing w:after="60"/>
      </w:pPr>
      <w:r/>
      <w:r>
        <w:rPr>
          <w:b/>
        </w:rPr>
        <w:t>Objective:</w:t>
      </w:r>
      <w:r>
        <w:t xml:space="preserve"> Classify retail product categories based on customer transaction features (`Gender`, `Age`, `Quantity`, `Price per Unit`, `Total Amount`).</w:t>
      </w:r>
    </w:p>
    <w:p>
      <w:pPr>
        <w:pStyle w:val="ListBullet"/>
        <w:spacing w:after="60"/>
      </w:pPr>
      <w:r/>
      <w:r>
        <w:rPr>
          <w:b/>
        </w:rPr>
        <w:t>Algorithms Evaluated:</w:t>
      </w:r>
      <w:r>
        <w:t xml:space="preserve"> Decision Tree Classifier ($max\_depth = 5$) and Random Forest Classifier ($n\_estimators = 100$).</w:t>
      </w:r>
    </w:p>
    <w:p>
      <w:pPr>
        <w:pStyle w:val="ListBullet"/>
        <w:spacing w:after="60"/>
      </w:pPr>
      <w:r/>
      <w:r>
        <w:rPr>
          <w:b/>
        </w:rPr>
        <w:t>Train/Test Split:</w:t>
      </w:r>
      <w:r>
        <w:t xml:space="preserve"> 80% Training (800 rows), 20% Testing (200 rows).</w:t>
      </w:r>
    </w:p>
    <w:p>
      <w:pPr>
        <w:spacing w:after="120"/>
      </w:pPr>
      <w:r>
        <w:t>#### Classification Performance Evaluation Table</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2B6CB0"/>
          </w:tcPr>
          <w:p>
            <w:pPr>
              <w:spacing w:before="80" w:after="80"/>
            </w:pPr>
            <w:r>
              <w:rPr>
                <w:b/>
                <w:color w:val="FFFFFF"/>
                <w:sz w:val="20"/>
              </w:rPr>
              <w:t>Classification Model</w:t>
            </w:r>
          </w:p>
        </w:tc>
        <w:tc>
          <w:tcPr>
            <w:tcW w:type="dxa" w:w="1872"/>
            <w:shd w:val="clear" w:color="auto" w:fill="2B6CB0"/>
          </w:tcPr>
          <w:p>
            <w:pPr>
              <w:spacing w:before="80" w:after="80"/>
            </w:pPr>
            <w:r>
              <w:rPr>
                <w:b/>
                <w:color w:val="FFFFFF"/>
                <w:sz w:val="20"/>
              </w:rPr>
              <w:t>Accuracy</w:t>
            </w:r>
          </w:p>
        </w:tc>
        <w:tc>
          <w:tcPr>
            <w:tcW w:type="dxa" w:w="1872"/>
            <w:shd w:val="clear" w:color="auto" w:fill="2B6CB0"/>
          </w:tcPr>
          <w:p>
            <w:pPr>
              <w:spacing w:before="80" w:after="80"/>
            </w:pPr>
            <w:r>
              <w:rPr>
                <w:b/>
                <w:color w:val="FFFFFF"/>
                <w:sz w:val="20"/>
              </w:rPr>
              <w:t>Precision (Weighted)</w:t>
            </w:r>
          </w:p>
        </w:tc>
        <w:tc>
          <w:tcPr>
            <w:tcW w:type="dxa" w:w="1872"/>
            <w:shd w:val="clear" w:color="auto" w:fill="2B6CB0"/>
          </w:tcPr>
          <w:p>
            <w:pPr>
              <w:spacing w:before="80" w:after="80"/>
            </w:pPr>
            <w:r>
              <w:rPr>
                <w:b/>
                <w:color w:val="FFFFFF"/>
                <w:sz w:val="20"/>
              </w:rPr>
              <w:t>Recall (Weighted)</w:t>
            </w:r>
          </w:p>
        </w:tc>
        <w:tc>
          <w:tcPr>
            <w:tcW w:type="dxa" w:w="1872"/>
            <w:shd w:val="clear" w:color="auto" w:fill="2B6CB0"/>
          </w:tcPr>
          <w:p>
            <w:pPr>
              <w:spacing w:before="80" w:after="80"/>
            </w:pPr>
            <w:r>
              <w:rPr>
                <w:b/>
                <w:color w:val="FFFFFF"/>
                <w:sz w:val="20"/>
              </w:rPr>
              <w:t>F1-Score (Weighted)</w:t>
            </w:r>
          </w:p>
        </w:tc>
      </w:tr>
      <w:tr>
        <w:tc>
          <w:tcPr>
            <w:tcW w:type="dxa" w:w="1872"/>
          </w:tcPr>
          <w:p>
            <w:pPr>
              <w:spacing w:before="80" w:after="80"/>
            </w:pPr>
            <w:r>
              <w:rPr>
                <w:sz w:val="19"/>
              </w:rPr>
              <w:t>Decision Tree</w:t>
            </w:r>
          </w:p>
        </w:tc>
        <w:tc>
          <w:tcPr>
            <w:tcW w:type="dxa" w:w="1872"/>
          </w:tcPr>
          <w:p>
            <w:pPr>
              <w:spacing w:before="80" w:after="80"/>
            </w:pPr>
            <w:r>
              <w:rPr>
                <w:sz w:val="19"/>
              </w:rPr>
              <w:t>0.3300</w:t>
            </w:r>
          </w:p>
        </w:tc>
        <w:tc>
          <w:tcPr>
            <w:tcW w:type="dxa" w:w="1872"/>
          </w:tcPr>
          <w:p>
            <w:pPr>
              <w:spacing w:before="80" w:after="80"/>
            </w:pPr>
            <w:r>
              <w:rPr>
                <w:sz w:val="19"/>
              </w:rPr>
              <w:t>0.3401</w:t>
            </w:r>
          </w:p>
        </w:tc>
        <w:tc>
          <w:tcPr>
            <w:tcW w:type="dxa" w:w="1872"/>
          </w:tcPr>
          <w:p>
            <w:pPr>
              <w:spacing w:before="80" w:after="80"/>
            </w:pPr>
            <w:r>
              <w:rPr>
                <w:sz w:val="19"/>
              </w:rPr>
              <w:t>0.3300</w:t>
            </w:r>
          </w:p>
        </w:tc>
        <w:tc>
          <w:tcPr>
            <w:tcW w:type="dxa" w:w="1872"/>
          </w:tcPr>
          <w:p>
            <w:pPr>
              <w:spacing w:before="80" w:after="80"/>
            </w:pPr>
            <w:r>
              <w:rPr>
                <w:sz w:val="19"/>
              </w:rPr>
              <w:t>0.3259</w:t>
            </w:r>
          </w:p>
        </w:tc>
      </w:tr>
      <w:tr>
        <w:tc>
          <w:tcPr>
            <w:tcW w:type="dxa" w:w="1872"/>
            <w:shd w:val="clear" w:color="auto" w:fill="F7FAFC"/>
          </w:tcPr>
          <w:p>
            <w:pPr>
              <w:spacing w:before="80" w:after="80"/>
            </w:pPr>
            <w:r>
              <w:rPr>
                <w:sz w:val="19"/>
              </w:rPr>
              <w:t>Random Forest</w:t>
            </w:r>
          </w:p>
        </w:tc>
        <w:tc>
          <w:tcPr>
            <w:tcW w:type="dxa" w:w="1872"/>
            <w:shd w:val="clear" w:color="auto" w:fill="F7FAFC"/>
          </w:tcPr>
          <w:p>
            <w:pPr>
              <w:spacing w:before="80" w:after="80"/>
            </w:pPr>
            <w:r>
              <w:rPr>
                <w:sz w:val="19"/>
              </w:rPr>
              <w:t>0.3000</w:t>
            </w:r>
          </w:p>
        </w:tc>
        <w:tc>
          <w:tcPr>
            <w:tcW w:type="dxa" w:w="1872"/>
            <w:shd w:val="clear" w:color="auto" w:fill="F7FAFC"/>
          </w:tcPr>
          <w:p>
            <w:pPr>
              <w:spacing w:before="80" w:after="80"/>
            </w:pPr>
            <w:r>
              <w:rPr>
                <w:sz w:val="19"/>
              </w:rPr>
              <w:t>0.2993</w:t>
            </w:r>
          </w:p>
        </w:tc>
        <w:tc>
          <w:tcPr>
            <w:tcW w:type="dxa" w:w="1872"/>
            <w:shd w:val="clear" w:color="auto" w:fill="F7FAFC"/>
          </w:tcPr>
          <w:p>
            <w:pPr>
              <w:spacing w:before="80" w:after="80"/>
            </w:pPr>
            <w:r>
              <w:rPr>
                <w:sz w:val="19"/>
              </w:rPr>
              <w:t>0.3000</w:t>
            </w:r>
          </w:p>
        </w:tc>
        <w:tc>
          <w:tcPr>
            <w:tcW w:type="dxa" w:w="1872"/>
            <w:shd w:val="clear" w:color="auto" w:fill="F7FAFC"/>
          </w:tcPr>
          <w:p>
            <w:pPr>
              <w:spacing w:before="80" w:after="80"/>
            </w:pPr>
            <w:r>
              <w:rPr>
                <w:sz w:val="19"/>
              </w:rPr>
              <w:t>0.2975</w:t>
            </w:r>
          </w:p>
        </w:tc>
      </w:tr>
    </w:tbl>
    <w:p/>
    <w:p>
      <w:pPr>
        <w:spacing w:after="120"/>
      </w:pPr>
      <w:r>
        <w:t>#### Confusion Matrix Visualization</w:t>
      </w:r>
    </w:p>
    <w:p>
      <w:pPr>
        <w:spacing w:after="240"/>
        <w:jc w:val="center"/>
      </w:pPr>
      <w:r>
        <w:drawing>
          <wp:inline xmlns:a="http://schemas.openxmlformats.org/drawingml/2006/main" xmlns:pic="http://schemas.openxmlformats.org/drawingml/2006/picture">
            <wp:extent cx="5029200" cy="4191000"/>
            <wp:docPr id="9" name="Picture 9"/>
            <wp:cNvGraphicFramePr>
              <a:graphicFrameLocks noChangeAspect="1"/>
            </wp:cNvGraphicFramePr>
            <a:graphic>
              <a:graphicData uri="http://schemas.openxmlformats.org/drawingml/2006/picture">
                <pic:pic>
                  <pic:nvPicPr>
                    <pic:cNvPr id="0" name="09_confusion_matrix.png"/>
                    <pic:cNvPicPr/>
                  </pic:nvPicPr>
                  <pic:blipFill>
                    <a:blip r:embed="rId17"/>
                    <a:stretch>
                      <a:fillRect/>
                    </a:stretch>
                  </pic:blipFill>
                  <pic:spPr>
                    <a:xfrm>
                      <a:off x="0" y="0"/>
                      <a:ext cx="5029200" cy="4191000"/>
                    </a:xfrm>
                    <a:prstGeom prst="rect"/>
                  </pic:spPr>
                </pic:pic>
              </a:graphicData>
            </a:graphic>
          </wp:inline>
        </w:drawing>
      </w:r>
    </w:p>
    <w:p>
      <w:pPr>
        <w:spacing w:after="120"/>
      </w:pPr>
      <w:r/>
      <w:r>
        <w:rPr>
          <w:i/>
        </w:rPr>
        <w:t>Discussion:</w:t>
      </w:r>
      <w:r>
        <w:t xml:space="preserve"> Product categories (</w:t>
      </w:r>
      <w:r>
        <w:rPr>
          <w:rFonts w:ascii="Consolas" w:hAnsi="Consolas"/>
          <w:sz w:val="19"/>
        </w:rPr>
        <w:t>Beauty</w:t>
      </w:r>
      <w:r>
        <w:t xml:space="preserve">, </w:t>
      </w:r>
      <w:r>
        <w:rPr>
          <w:rFonts w:ascii="Consolas" w:hAnsi="Consolas"/>
          <w:sz w:val="19"/>
        </w:rPr>
        <w:t>Clothing</w:t>
      </w:r>
      <w:r>
        <w:t xml:space="preserve">, </w:t>
      </w:r>
      <w:r>
        <w:rPr>
          <w:rFonts w:ascii="Consolas" w:hAnsi="Consolas"/>
          <w:sz w:val="19"/>
        </w:rPr>
        <w:t>Electronics</w:t>
      </w:r>
      <w:r>
        <w:t>) share identical pricing tiers ($25–$500) and quantity ranges (1–4). Consequently, demographic features alone do not rigidly isolate product category boundaries, reflecting realistic multi-category retail shopping behavior.</w:t>
      </w:r>
    </w:p>
    <w:p>
      <w:pPr>
        <w:spacing w:before="200" w:after="80"/>
      </w:pPr>
      <w:r>
        <w:rPr>
          <w:b/>
          <w:color w:val="2D3748"/>
          <w:sz w:val="24"/>
        </w:rPr>
        <w:t>8.2 Clustering Analysis (Unsupervised K-Means)</w:t>
      </w:r>
    </w:p>
    <w:p>
      <w:pPr>
        <w:pStyle w:val="ListBullet"/>
        <w:spacing w:after="60"/>
      </w:pPr>
      <w:r/>
      <w:r>
        <w:rPr>
          <w:b/>
        </w:rPr>
        <w:t>Objective:</w:t>
      </w:r>
      <w:r>
        <w:t xml:space="preserve"> Discover natural customer segments based on `Age`, `Quantity`, `Price per Unit`, and `Total Amount`.</w:t>
      </w:r>
    </w:p>
    <w:p>
      <w:pPr>
        <w:pStyle w:val="ListBullet"/>
        <w:spacing w:after="60"/>
      </w:pPr>
      <w:r/>
      <w:r>
        <w:rPr>
          <w:b/>
        </w:rPr>
        <w:t>Methodology:</w:t>
      </w:r>
      <w:r>
        <w:t xml:space="preserve"> Tested $K = 2$ to $8$ clusters using standard scaled features. Evaluated using Inertia (WCSS) and Silhouette Score.</w:t>
      </w:r>
    </w:p>
    <w:p>
      <w:pPr>
        <w:spacing w:after="120"/>
      </w:pPr>
      <w:r>
        <w:t>#### K-Means Elbow Curve &amp; Silhouette Scores</w:t>
      </w:r>
    </w:p>
    <w:p>
      <w:pPr>
        <w:spacing w:after="240"/>
        <w:jc w:val="center"/>
      </w:pPr>
      <w:r>
        <w:drawing>
          <wp:inline xmlns:a="http://schemas.openxmlformats.org/drawingml/2006/main" xmlns:pic="http://schemas.openxmlformats.org/drawingml/2006/picture">
            <wp:extent cx="5029200" cy="2828925"/>
            <wp:docPr id="10" name="Picture 10"/>
            <wp:cNvGraphicFramePr>
              <a:graphicFrameLocks noChangeAspect="1"/>
            </wp:cNvGraphicFramePr>
            <a:graphic>
              <a:graphicData uri="http://schemas.openxmlformats.org/drawingml/2006/picture">
                <pic:pic>
                  <pic:nvPicPr>
                    <pic:cNvPr id="0" name="10_kmeans_elbow.png"/>
                    <pic:cNvPicPr/>
                  </pic:nvPicPr>
                  <pic:blipFill>
                    <a:blip r:embed="rId18"/>
                    <a:stretch>
                      <a:fillRect/>
                    </a:stretch>
                  </pic:blipFill>
                  <pic:spPr>
                    <a:xfrm>
                      <a:off x="0" y="0"/>
                      <a:ext cx="5029200" cy="2828925"/>
                    </a:xfrm>
                    <a:prstGeom prst="rect"/>
                  </pic:spPr>
                </pic:pic>
              </a:graphicData>
            </a:graphic>
          </wp:inline>
        </w:drawing>
      </w:r>
    </w:p>
    <w:p>
      <w:pPr>
        <w:spacing w:after="120"/>
      </w:pPr>
      <w:r>
        <w:t>#### Cluster Profiling Summary Table ($K = 4$)</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val="clear" w:color="auto" w:fill="2B6CB0"/>
          </w:tcPr>
          <w:p>
            <w:pPr>
              <w:spacing w:before="80" w:after="80"/>
            </w:pPr>
            <w:r>
              <w:rPr>
                <w:b/>
                <w:color w:val="FFFFFF"/>
                <w:sz w:val="20"/>
              </w:rPr>
              <w:t>Cluster ID</w:t>
            </w:r>
          </w:p>
        </w:tc>
        <w:tc>
          <w:tcPr>
            <w:tcW w:type="dxa" w:w="1560"/>
            <w:shd w:val="clear" w:color="auto" w:fill="2B6CB0"/>
          </w:tcPr>
          <w:p>
            <w:pPr>
              <w:spacing w:before="80" w:after="80"/>
            </w:pPr>
            <w:r>
              <w:rPr>
                <w:b/>
                <w:color w:val="FFFFFF"/>
                <w:sz w:val="20"/>
              </w:rPr>
              <w:t>Segment Name</w:t>
            </w:r>
          </w:p>
        </w:tc>
        <w:tc>
          <w:tcPr>
            <w:tcW w:type="dxa" w:w="1560"/>
            <w:shd w:val="clear" w:color="auto" w:fill="2B6CB0"/>
          </w:tcPr>
          <w:p>
            <w:pPr>
              <w:spacing w:before="80" w:after="80"/>
            </w:pPr>
            <w:r>
              <w:rPr>
                <w:b/>
                <w:color w:val="FFFFFF"/>
                <w:sz w:val="20"/>
              </w:rPr>
              <w:t>Avg Age</w:t>
            </w:r>
          </w:p>
        </w:tc>
        <w:tc>
          <w:tcPr>
            <w:tcW w:type="dxa" w:w="1560"/>
            <w:shd w:val="clear" w:color="auto" w:fill="2B6CB0"/>
          </w:tcPr>
          <w:p>
            <w:pPr>
              <w:spacing w:before="80" w:after="80"/>
            </w:pPr>
            <w:r>
              <w:rPr>
                <w:b/>
                <w:color w:val="FFFFFF"/>
                <w:sz w:val="20"/>
              </w:rPr>
              <w:t>Avg Quantity</w:t>
            </w:r>
          </w:p>
        </w:tc>
        <w:tc>
          <w:tcPr>
            <w:tcW w:type="dxa" w:w="1560"/>
            <w:shd w:val="clear" w:color="auto" w:fill="2B6CB0"/>
          </w:tcPr>
          <w:p>
            <w:pPr>
              <w:spacing w:before="80" w:after="80"/>
            </w:pPr>
            <w:r>
              <w:rPr>
                <w:b/>
                <w:color w:val="FFFFFF"/>
                <w:sz w:val="20"/>
              </w:rPr>
              <w:t>Avg Price per Unit ($)</w:t>
            </w:r>
          </w:p>
        </w:tc>
        <w:tc>
          <w:tcPr>
            <w:tcW w:type="dxa" w:w="1560"/>
            <w:shd w:val="clear" w:color="auto" w:fill="2B6CB0"/>
          </w:tcPr>
          <w:p>
            <w:pPr>
              <w:spacing w:before="80" w:after="80"/>
            </w:pPr>
            <w:r>
              <w:rPr>
                <w:b/>
                <w:color w:val="FFFFFF"/>
                <w:sz w:val="20"/>
              </w:rPr>
              <w:t>Avg Total Amount ($)</w:t>
            </w:r>
          </w:p>
        </w:tc>
      </w:tr>
      <w:tr>
        <w:tc>
          <w:tcPr>
            <w:tcW w:type="dxa" w:w="1560"/>
          </w:tcPr>
          <w:p>
            <w:pPr>
              <w:spacing w:before="80" w:after="80"/>
            </w:pPr>
            <w:r>
              <w:rPr>
                <w:sz w:val="19"/>
              </w:rPr>
              <w:t>Cluster 0</w:t>
            </w:r>
          </w:p>
        </w:tc>
        <w:tc>
          <w:tcPr>
            <w:tcW w:type="dxa" w:w="1560"/>
          </w:tcPr>
          <w:p>
            <w:pPr>
              <w:spacing w:before="80" w:after="80"/>
            </w:pPr>
            <w:r>
              <w:rPr>
                <w:sz w:val="19"/>
              </w:rPr>
              <w:t>Budget Single Buyers</w:t>
            </w:r>
          </w:p>
        </w:tc>
        <w:tc>
          <w:tcPr>
            <w:tcW w:type="dxa" w:w="1560"/>
          </w:tcPr>
          <w:p>
            <w:pPr>
              <w:spacing w:before="80" w:after="80"/>
            </w:pPr>
            <w:r>
              <w:rPr>
                <w:sz w:val="19"/>
              </w:rPr>
              <w:t>42.1 yrs</w:t>
            </w:r>
          </w:p>
        </w:tc>
        <w:tc>
          <w:tcPr>
            <w:tcW w:type="dxa" w:w="1560"/>
          </w:tcPr>
          <w:p>
            <w:pPr>
              <w:spacing w:before="80" w:after="80"/>
            </w:pPr>
            <w:r>
              <w:rPr>
                <w:sz w:val="19"/>
              </w:rPr>
              <w:t>1.46 units</w:t>
            </w:r>
          </w:p>
        </w:tc>
        <w:tc>
          <w:tcPr>
            <w:tcW w:type="dxa" w:w="1560"/>
          </w:tcPr>
          <w:p>
            <w:pPr>
              <w:spacing w:before="80" w:after="80"/>
            </w:pPr>
            <w:r>
              <w:rPr>
                <w:sz w:val="19"/>
              </w:rPr>
              <w:t>$410.50</w:t>
            </w:r>
          </w:p>
        </w:tc>
        <w:tc>
          <w:tcPr>
            <w:tcW w:type="dxa" w:w="1560"/>
          </w:tcPr>
          <w:p>
            <w:pPr>
              <w:spacing w:before="80" w:after="80"/>
            </w:pPr>
            <w:r>
              <w:rPr>
                <w:sz w:val="19"/>
              </w:rPr>
              <w:t>$603.87</w:t>
            </w:r>
          </w:p>
        </w:tc>
      </w:tr>
      <w:tr>
        <w:tc>
          <w:tcPr>
            <w:tcW w:type="dxa" w:w="1560"/>
            <w:shd w:val="clear" w:color="auto" w:fill="F7FAFC"/>
          </w:tcPr>
          <w:p>
            <w:pPr>
              <w:spacing w:before="80" w:after="80"/>
            </w:pPr>
            <w:r>
              <w:rPr>
                <w:sz w:val="19"/>
              </w:rPr>
              <w:t>Cluster 1</w:t>
            </w:r>
          </w:p>
        </w:tc>
        <w:tc>
          <w:tcPr>
            <w:tcW w:type="dxa" w:w="1560"/>
            <w:shd w:val="clear" w:color="auto" w:fill="F7FAFC"/>
          </w:tcPr>
          <w:p>
            <w:pPr>
              <w:spacing w:before="80" w:after="80"/>
            </w:pPr>
            <w:r>
              <w:rPr>
                <w:sz w:val="19"/>
              </w:rPr>
              <w:t>Moderate Spenders</w:t>
            </w:r>
          </w:p>
        </w:tc>
        <w:tc>
          <w:tcPr>
            <w:tcW w:type="dxa" w:w="1560"/>
            <w:shd w:val="clear" w:color="auto" w:fill="F7FAFC"/>
          </w:tcPr>
          <w:p>
            <w:pPr>
              <w:spacing w:before="80" w:after="80"/>
            </w:pPr>
            <w:r>
              <w:rPr>
                <w:sz w:val="19"/>
              </w:rPr>
              <w:t>41.8 yrs</w:t>
            </w:r>
          </w:p>
        </w:tc>
        <w:tc>
          <w:tcPr>
            <w:tcW w:type="dxa" w:w="1560"/>
            <w:shd w:val="clear" w:color="auto" w:fill="F7FAFC"/>
          </w:tcPr>
          <w:p>
            <w:pPr>
              <w:spacing w:before="80" w:after="80"/>
            </w:pPr>
            <w:r>
              <w:rPr>
                <w:sz w:val="19"/>
              </w:rPr>
              <w:t>3.55 units</w:t>
            </w:r>
          </w:p>
        </w:tc>
        <w:tc>
          <w:tcPr>
            <w:tcW w:type="dxa" w:w="1560"/>
            <w:shd w:val="clear" w:color="auto" w:fill="F7FAFC"/>
          </w:tcPr>
          <w:p>
            <w:pPr>
              <w:spacing w:before="80" w:after="80"/>
            </w:pPr>
            <w:r>
              <w:rPr>
                <w:sz w:val="19"/>
              </w:rPr>
              <w:t>$35.50</w:t>
            </w:r>
          </w:p>
        </w:tc>
        <w:tc>
          <w:tcPr>
            <w:tcW w:type="dxa" w:w="1560"/>
            <w:shd w:val="clear" w:color="auto" w:fill="F7FAFC"/>
          </w:tcPr>
          <w:p>
            <w:pPr>
              <w:spacing w:before="80" w:after="80"/>
            </w:pPr>
            <w:r>
              <w:rPr>
                <w:sz w:val="19"/>
              </w:rPr>
              <w:t>$126.45</w:t>
            </w:r>
          </w:p>
        </w:tc>
      </w:tr>
      <w:tr>
        <w:tc>
          <w:tcPr>
            <w:tcW w:type="dxa" w:w="1560"/>
          </w:tcPr>
          <w:p>
            <w:pPr>
              <w:spacing w:before="80" w:after="80"/>
            </w:pPr>
            <w:r>
              <w:rPr>
                <w:sz w:val="19"/>
              </w:rPr>
              <w:t>Cluster 2</w:t>
            </w:r>
          </w:p>
        </w:tc>
        <w:tc>
          <w:tcPr>
            <w:tcW w:type="dxa" w:w="1560"/>
          </w:tcPr>
          <w:p>
            <w:pPr>
              <w:spacing w:before="80" w:after="80"/>
            </w:pPr>
            <w:r>
              <w:rPr>
                <w:sz w:val="19"/>
              </w:rPr>
              <w:t>Low-Cost Bargain Shoppers</w:t>
            </w:r>
          </w:p>
        </w:tc>
        <w:tc>
          <w:tcPr>
            <w:tcW w:type="dxa" w:w="1560"/>
          </w:tcPr>
          <w:p>
            <w:pPr>
              <w:spacing w:before="80" w:after="80"/>
            </w:pPr>
            <w:r>
              <w:rPr>
                <w:sz w:val="19"/>
              </w:rPr>
              <w:t>41.9 yrs</w:t>
            </w:r>
          </w:p>
        </w:tc>
        <w:tc>
          <w:tcPr>
            <w:tcW w:type="dxa" w:w="1560"/>
          </w:tcPr>
          <w:p>
            <w:pPr>
              <w:spacing w:before="80" w:after="80"/>
            </w:pPr>
            <w:r>
              <w:rPr>
                <w:sz w:val="19"/>
              </w:rPr>
              <w:t>1.50 units</w:t>
            </w:r>
          </w:p>
        </w:tc>
        <w:tc>
          <w:tcPr>
            <w:tcW w:type="dxa" w:w="1560"/>
          </w:tcPr>
          <w:p>
            <w:pPr>
              <w:spacing w:before="80" w:after="80"/>
            </w:pPr>
            <w:r>
              <w:rPr>
                <w:sz w:val="19"/>
              </w:rPr>
              <w:t>$35.02</w:t>
            </w:r>
          </w:p>
        </w:tc>
        <w:tc>
          <w:tcPr>
            <w:tcW w:type="dxa" w:w="1560"/>
          </w:tcPr>
          <w:p>
            <w:pPr>
              <w:spacing w:before="80" w:after="80"/>
            </w:pPr>
            <w:r>
              <w:rPr>
                <w:sz w:val="19"/>
              </w:rPr>
              <w:t>$52.56</w:t>
            </w:r>
          </w:p>
        </w:tc>
      </w:tr>
      <w:tr>
        <w:tc>
          <w:tcPr>
            <w:tcW w:type="dxa" w:w="1560"/>
            <w:shd w:val="clear" w:color="auto" w:fill="F7FAFC"/>
          </w:tcPr>
          <w:p>
            <w:pPr>
              <w:spacing w:before="80" w:after="80"/>
            </w:pPr>
            <w:r>
              <w:rPr>
                <w:sz w:val="19"/>
              </w:rPr>
              <w:t>Cluster 3</w:t>
            </w:r>
          </w:p>
        </w:tc>
        <w:tc>
          <w:tcPr>
            <w:tcW w:type="dxa" w:w="1560"/>
            <w:shd w:val="clear" w:color="auto" w:fill="F7FAFC"/>
          </w:tcPr>
          <w:p>
            <w:pPr>
              <w:spacing w:before="80" w:after="80"/>
            </w:pPr>
            <w:r>
              <w:rPr>
                <w:sz w:val="19"/>
              </w:rPr>
              <w:t>High-Value VIP Shoppers</w:t>
            </w:r>
          </w:p>
        </w:tc>
        <w:tc>
          <w:tcPr>
            <w:tcW w:type="dxa" w:w="1560"/>
            <w:shd w:val="clear" w:color="auto" w:fill="F7FAFC"/>
          </w:tcPr>
          <w:p>
            <w:pPr>
              <w:spacing w:before="80" w:after="80"/>
            </w:pPr>
            <w:r>
              <w:rPr>
                <w:sz w:val="19"/>
              </w:rPr>
              <w:t>39.5 yrs</w:t>
            </w:r>
          </w:p>
        </w:tc>
        <w:tc>
          <w:tcPr>
            <w:tcW w:type="dxa" w:w="1560"/>
            <w:shd w:val="clear" w:color="auto" w:fill="F7FAFC"/>
          </w:tcPr>
          <w:p>
            <w:pPr>
              <w:spacing w:before="80" w:after="80"/>
            </w:pPr>
            <w:r>
              <w:rPr>
                <w:sz w:val="19"/>
              </w:rPr>
              <w:t>3.48 units</w:t>
            </w:r>
          </w:p>
        </w:tc>
        <w:tc>
          <w:tcPr>
            <w:tcW w:type="dxa" w:w="1560"/>
            <w:shd w:val="clear" w:color="auto" w:fill="F7FAFC"/>
          </w:tcPr>
          <w:p>
            <w:pPr>
              <w:spacing w:before="80" w:after="80"/>
            </w:pPr>
            <w:r>
              <w:rPr>
                <w:sz w:val="19"/>
              </w:rPr>
              <w:t>$392.09</w:t>
            </w:r>
          </w:p>
        </w:tc>
        <w:tc>
          <w:tcPr>
            <w:tcW w:type="dxa" w:w="1560"/>
            <w:shd w:val="clear" w:color="auto" w:fill="F7FAFC"/>
          </w:tcPr>
          <w:p>
            <w:pPr>
              <w:spacing w:before="80" w:after="80"/>
            </w:pPr>
            <w:r>
              <w:rPr>
                <w:sz w:val="19"/>
              </w:rPr>
              <w:t>$1,365.58</w:t>
            </w:r>
          </w:p>
        </w:tc>
      </w:tr>
    </w:tbl>
    <w:p/>
    <w:p>
      <w:pPr>
        <w:spacing w:after="120"/>
      </w:pPr>
      <w:r>
        <w:t>#### 2D PCA Cluster Projection</w:t>
      </w:r>
    </w:p>
    <w:p>
      <w:pPr>
        <w:spacing w:after="240"/>
        <w:jc w:val="center"/>
      </w:pPr>
      <w:r>
        <w:drawing>
          <wp:inline xmlns:a="http://schemas.openxmlformats.org/drawingml/2006/main" xmlns:pic="http://schemas.openxmlformats.org/drawingml/2006/picture">
            <wp:extent cx="5029200" cy="3143250"/>
            <wp:docPr id="11" name="Picture 11"/>
            <wp:cNvGraphicFramePr>
              <a:graphicFrameLocks noChangeAspect="1"/>
            </wp:cNvGraphicFramePr>
            <a:graphic>
              <a:graphicData uri="http://schemas.openxmlformats.org/drawingml/2006/picture">
                <pic:pic>
                  <pic:nvPicPr>
                    <pic:cNvPr id="0" name="11_kmeans_clusters_pca.png"/>
                    <pic:cNvPicPr/>
                  </pic:nvPicPr>
                  <pic:blipFill>
                    <a:blip r:embed="rId19"/>
                    <a:stretch>
                      <a:fillRect/>
                    </a:stretch>
                  </pic:blipFill>
                  <pic:spPr>
                    <a:xfrm>
                      <a:off x="0" y="0"/>
                      <a:ext cx="5029200" cy="3143250"/>
                    </a:xfrm>
                    <a:prstGeom prst="rect"/>
                  </pic:spPr>
                </pic:pic>
              </a:graphicData>
            </a:graphic>
          </wp:inline>
        </w:drawing>
      </w:r>
    </w:p>
    <w:p>
      <w:pPr>
        <w:spacing w:after="120"/>
      </w:pPr>
      <w:r/>
      <w:r>
        <w:rPr>
          <w:i/>
        </w:rPr>
        <w:t>Discussion:</w:t>
      </w:r>
      <w:r>
        <w:t xml:space="preserve"> Principle Component Analysis (PCA) successfully separates customers into four distinct clusters. Cluster 3 represents high-value VIP buyers (generating $1,365+ average spend per transaction).</w:t>
      </w:r>
    </w:p>
    <w:p>
      <w:pPr>
        <w:spacing w:before="200" w:after="80"/>
      </w:pPr>
      <w:r>
        <w:rPr>
          <w:b/>
          <w:color w:val="2D3748"/>
          <w:sz w:val="24"/>
        </w:rPr>
        <w:t>8.3 Prediction / Regression Analysis</w:t>
      </w:r>
    </w:p>
    <w:p>
      <w:pPr>
        <w:pStyle w:val="ListBullet"/>
        <w:spacing w:after="60"/>
      </w:pPr>
      <w:r/>
      <w:r>
        <w:rPr>
          <w:b/>
        </w:rPr>
        <w:t>Objective:</w:t>
      </w:r>
      <w:r>
        <w:t xml:space="preserve"> Build a predictive regression model to estimate transaction `Total Amount` using features (`Age`, `Quantity`, `Price per Unit`, `Gender`).</w:t>
      </w:r>
    </w:p>
    <w:p>
      <w:pPr>
        <w:pStyle w:val="ListBullet"/>
        <w:spacing w:after="60"/>
      </w:pPr>
      <w:r/>
      <w:r>
        <w:rPr>
          <w:b/>
        </w:rPr>
        <w:t>Algorithm:</w:t>
      </w:r>
      <w:r>
        <w:t xml:space="preserve"> Multiple Linear Regression.</w:t>
      </w:r>
    </w:p>
    <w:p>
      <w:pPr>
        <w:spacing w:after="120"/>
      </w:pPr>
      <w:r>
        <w:t>#### Model Equation</w:t>
      </w:r>
    </w:p>
    <w:p>
      <w:pPr>
        <w:spacing w:after="120"/>
      </w:pPr>
      <w:r>
        <w:t>$$\text{Total Amount} = -406.37 + (179.58 \times \text{Quantity}) + (2.49 \times \text{Price per Unit}) - (0.90 \times \text{Age}) + (11.88 \times \text{Gender})$$</w:t>
      </w:r>
    </w:p>
    <w:p>
      <w:pPr>
        <w:spacing w:after="120"/>
      </w:pPr>
      <w:r>
        <w:t>#### Predictive Performance Metrics Table</w:t>
      </w:r>
    </w:p>
    <w:tbl>
      <w:tblPr>
        <w:tblW w:type="auto" w:w="0"/>
        <w:jc w:val="center"/>
        <w:tblLook w:firstColumn="1" w:firstRow="1" w:lastColumn="0" w:lastRow="0" w:noHBand="0" w:noVBand="1" w:val="04A0"/>
      </w:tblPr>
      <w:tblGrid>
        <w:gridCol w:w="3120"/>
        <w:gridCol w:w="3120"/>
        <w:gridCol w:w="3120"/>
      </w:tblGrid>
      <w:tr>
        <w:tc>
          <w:tcPr>
            <w:tcW w:type="dxa" w:w="3120"/>
            <w:shd w:val="clear" w:color="auto" w:fill="2B6CB0"/>
          </w:tcPr>
          <w:p>
            <w:pPr>
              <w:spacing w:before="80" w:after="80"/>
            </w:pPr>
            <w:r>
              <w:rPr>
                <w:b/>
                <w:color w:val="FFFFFF"/>
                <w:sz w:val="20"/>
              </w:rPr>
              <w:t>Metric</w:t>
            </w:r>
          </w:p>
        </w:tc>
        <w:tc>
          <w:tcPr>
            <w:tcW w:type="dxa" w:w="3120"/>
            <w:shd w:val="clear" w:color="auto" w:fill="2B6CB0"/>
          </w:tcPr>
          <w:p>
            <w:pPr>
              <w:spacing w:before="80" w:after="80"/>
            </w:pPr>
            <w:r>
              <w:rPr>
                <w:b/>
                <w:color w:val="FFFFFF"/>
                <w:sz w:val="20"/>
              </w:rPr>
              <w:t>Measured Value</w:t>
            </w:r>
          </w:p>
        </w:tc>
        <w:tc>
          <w:tcPr>
            <w:tcW w:type="dxa" w:w="3120"/>
            <w:shd w:val="clear" w:color="auto" w:fill="2B6CB0"/>
          </w:tcPr>
          <w:p>
            <w:pPr>
              <w:spacing w:before="80" w:after="80"/>
            </w:pPr>
            <w:r>
              <w:rPr>
                <w:b/>
                <w:color w:val="FFFFFF"/>
                <w:sz w:val="20"/>
              </w:rPr>
              <w:t>Interpretation</w:t>
            </w:r>
          </w:p>
        </w:tc>
      </w:tr>
      <w:tr>
        <w:tc>
          <w:tcPr>
            <w:tcW w:type="dxa" w:w="3120"/>
          </w:tcPr>
          <w:p>
            <w:pPr>
              <w:spacing w:before="80" w:after="80"/>
            </w:pPr>
            <w:r>
              <w:rPr>
                <w:sz w:val="19"/>
              </w:rPr>
              <w:t>R² Score</w:t>
            </w:r>
          </w:p>
        </w:tc>
        <w:tc>
          <w:tcPr>
            <w:tcW w:type="dxa" w:w="3120"/>
          </w:tcPr>
          <w:p>
            <w:pPr>
              <w:spacing w:before="80" w:after="80"/>
            </w:pPr>
            <w:r>
              <w:rPr>
                <w:sz w:val="19"/>
              </w:rPr>
              <w:t>0.8569</w:t>
            </w:r>
          </w:p>
        </w:tc>
        <w:tc>
          <w:tcPr>
            <w:tcW w:type="dxa" w:w="3120"/>
          </w:tcPr>
          <w:p>
            <w:pPr>
              <w:spacing w:before="80" w:after="80"/>
            </w:pPr>
            <w:r>
              <w:rPr>
                <w:sz w:val="19"/>
              </w:rPr>
              <w:t>Model explains 85.69% of variance in transaction revenue</w:t>
            </w:r>
          </w:p>
        </w:tc>
      </w:tr>
      <w:tr>
        <w:tc>
          <w:tcPr>
            <w:tcW w:type="dxa" w:w="3120"/>
            <w:shd w:val="clear" w:color="auto" w:fill="F7FAFC"/>
          </w:tcPr>
          <w:p>
            <w:pPr>
              <w:spacing w:before="80" w:after="80"/>
            </w:pPr>
            <w:r>
              <w:rPr>
                <w:sz w:val="19"/>
              </w:rPr>
              <w:t>MAE</w:t>
            </w:r>
          </w:p>
        </w:tc>
        <w:tc>
          <w:tcPr>
            <w:tcW w:type="dxa" w:w="3120"/>
            <w:shd w:val="clear" w:color="auto" w:fill="F7FAFC"/>
          </w:tcPr>
          <w:p>
            <w:pPr>
              <w:spacing w:before="80" w:after="80"/>
            </w:pPr>
            <w:r>
              <w:rPr>
                <w:sz w:val="19"/>
              </w:rPr>
              <w:t>$172.95</w:t>
            </w:r>
          </w:p>
        </w:tc>
        <w:tc>
          <w:tcPr>
            <w:tcW w:type="dxa" w:w="3120"/>
            <w:shd w:val="clear" w:color="auto" w:fill="F7FAFC"/>
          </w:tcPr>
          <w:p>
            <w:pPr>
              <w:spacing w:before="80" w:after="80"/>
            </w:pPr>
            <w:r>
              <w:rPr>
                <w:sz w:val="19"/>
              </w:rPr>
              <w:t>Mean Absolute Error across test samples</w:t>
            </w:r>
          </w:p>
        </w:tc>
      </w:tr>
      <w:tr>
        <w:tc>
          <w:tcPr>
            <w:tcW w:type="dxa" w:w="3120"/>
          </w:tcPr>
          <w:p>
            <w:pPr>
              <w:spacing w:before="80" w:after="80"/>
            </w:pPr>
            <w:r>
              <w:rPr>
                <w:sz w:val="19"/>
              </w:rPr>
              <w:t>MSE</w:t>
            </w:r>
          </w:p>
        </w:tc>
        <w:tc>
          <w:tcPr>
            <w:tcW w:type="dxa" w:w="3120"/>
          </w:tcPr>
          <w:p>
            <w:pPr>
              <w:spacing w:before="80" w:after="80"/>
            </w:pPr>
            <w:r>
              <w:rPr>
                <w:sz w:val="19"/>
              </w:rPr>
              <w:t>41,877.98</w:t>
            </w:r>
          </w:p>
        </w:tc>
        <w:tc>
          <w:tcPr>
            <w:tcW w:type="dxa" w:w="3120"/>
          </w:tcPr>
          <w:p>
            <w:pPr>
              <w:spacing w:before="80" w:after="80"/>
            </w:pPr>
            <w:r>
              <w:rPr>
                <w:sz w:val="19"/>
              </w:rPr>
              <w:t>Mean Squared Error</w:t>
            </w:r>
          </w:p>
        </w:tc>
      </w:tr>
      <w:tr>
        <w:tc>
          <w:tcPr>
            <w:tcW w:type="dxa" w:w="3120"/>
            <w:shd w:val="clear" w:color="auto" w:fill="F7FAFC"/>
          </w:tcPr>
          <w:p>
            <w:pPr>
              <w:spacing w:before="80" w:after="80"/>
            </w:pPr>
            <w:r>
              <w:rPr>
                <w:sz w:val="19"/>
              </w:rPr>
              <w:t>RMSE</w:t>
            </w:r>
          </w:p>
        </w:tc>
        <w:tc>
          <w:tcPr>
            <w:tcW w:type="dxa" w:w="3120"/>
            <w:shd w:val="clear" w:color="auto" w:fill="F7FAFC"/>
          </w:tcPr>
          <w:p>
            <w:pPr>
              <w:spacing w:before="80" w:after="80"/>
            </w:pPr>
            <w:r>
              <w:rPr>
                <w:sz w:val="19"/>
              </w:rPr>
              <w:t>$204.64</w:t>
            </w:r>
          </w:p>
        </w:tc>
        <w:tc>
          <w:tcPr>
            <w:tcW w:type="dxa" w:w="3120"/>
            <w:shd w:val="clear" w:color="auto" w:fill="F7FAFC"/>
          </w:tcPr>
          <w:p>
            <w:pPr>
              <w:spacing w:before="80" w:after="80"/>
            </w:pPr>
            <w:r>
              <w:rPr>
                <w:sz w:val="19"/>
              </w:rPr>
              <w:t>Root Mean Squared Error ($)</w:t>
            </w:r>
          </w:p>
        </w:tc>
      </w:tr>
    </w:tbl>
    <w:p/>
    <w:p>
      <w:pPr>
        <w:spacing w:after="120"/>
      </w:pPr>
      <w:r>
        <w:t>#### Regression Line Plot (Actual vs. Predicted)</w:t>
      </w:r>
    </w:p>
    <w:p>
      <w:pPr>
        <w:spacing w:after="240"/>
        <w:jc w:val="center"/>
      </w:pPr>
      <w:r>
        <w:drawing>
          <wp:inline xmlns:a="http://schemas.openxmlformats.org/drawingml/2006/main" xmlns:pic="http://schemas.openxmlformats.org/drawingml/2006/picture">
            <wp:extent cx="5029200" cy="3143250"/>
            <wp:docPr id="12" name="Picture 12"/>
            <wp:cNvGraphicFramePr>
              <a:graphicFrameLocks noChangeAspect="1"/>
            </wp:cNvGraphicFramePr>
            <a:graphic>
              <a:graphicData uri="http://schemas.openxmlformats.org/drawingml/2006/picture">
                <pic:pic>
                  <pic:nvPicPr>
                    <pic:cNvPr id="0" name="12_regression_actual_vs_pred.png"/>
                    <pic:cNvPicPr/>
                  </pic:nvPicPr>
                  <pic:blipFill>
                    <a:blip r:embed="rId20"/>
                    <a:stretch>
                      <a:fillRect/>
                    </a:stretch>
                  </pic:blipFill>
                  <pic:spPr>
                    <a:xfrm>
                      <a:off x="0" y="0"/>
                      <a:ext cx="5029200" cy="3143250"/>
                    </a:xfrm>
                    <a:prstGeom prst="rect"/>
                  </pic:spPr>
                </pic:pic>
              </a:graphicData>
            </a:graphic>
          </wp:inline>
        </w:drawing>
      </w:r>
    </w:p>
    <w:p>
      <w:pPr>
        <w:spacing w:after="120"/>
      </w:pPr>
      <w:r/>
      <w:r>
        <w:rPr>
          <w:i/>
        </w:rPr>
        <w:t>Discussion:</w:t>
      </w:r>
      <w:r>
        <w:t xml:space="preserve"> The high $R^2$ score ($0.8569$) confirms strong predictive capability. Transaction value can be reliably estimated for inventory and financial forecasting.</w:t>
      </w:r>
    </w:p>
    <w:p>
      <w:pPr>
        <w:spacing w:before="280" w:after="120"/>
      </w:pPr>
      <w:r>
        <w:rPr>
          <w:b/>
          <w:color w:val="2B6CB0"/>
          <w:sz w:val="30"/>
        </w:rPr>
        <w:t>9. Results and Discussion</w:t>
      </w:r>
    </w:p>
    <w:p>
      <w:pPr>
        <w:spacing w:after="120"/>
      </w:pPr>
      <w:r>
        <w:t xml:space="preserve">1. </w:t>
      </w:r>
      <w:r>
        <w:rPr>
          <w:b/>
        </w:rPr>
        <w:t>Revenue Drivers:</w:t>
      </w:r>
      <w:r>
        <w:t xml:space="preserve"> </w:t>
      </w:r>
      <w:r>
        <w:rPr>
          <w:rFonts w:ascii="Consolas" w:hAnsi="Consolas"/>
          <w:sz w:val="19"/>
        </w:rPr>
        <w:t>Price per Unit</w:t>
      </w:r>
      <w:r>
        <w:t xml:space="preserve"> and </w:t>
      </w:r>
      <w:r>
        <w:rPr>
          <w:rFonts w:ascii="Consolas" w:hAnsi="Consolas"/>
          <w:sz w:val="19"/>
        </w:rPr>
        <w:t>Quantity</w:t>
      </w:r>
      <w:r>
        <w:t xml:space="preserve"> are the dominant drivers of gross revenue. Product categories contribute nearly equally to overall revenue (each ~31–34%).</w:t>
      </w:r>
    </w:p>
    <w:p>
      <w:pPr>
        <w:spacing w:after="120"/>
      </w:pPr>
      <w:r>
        <w:t xml:space="preserve">2. </w:t>
      </w:r>
      <w:r>
        <w:rPr>
          <w:b/>
        </w:rPr>
        <w:t>Customer Segmentation Insights:</w:t>
      </w:r>
      <w:r>
        <w:t xml:space="preserve"> K-Means clustering identified four distinct shopper profiles. Marketing campaigns should specifically target </w:t>
      </w:r>
      <w:r>
        <w:rPr>
          <w:b/>
        </w:rPr>
        <w:t>Cluster 3 (High-Value VIP Shoppers)</w:t>
      </w:r>
      <w:r>
        <w:t xml:space="preserve"> who average $1,365+ per checkout.</w:t>
      </w:r>
    </w:p>
    <w:p>
      <w:pPr>
        <w:spacing w:after="120"/>
      </w:pPr>
      <w:r>
        <w:t xml:space="preserve">3. </w:t>
      </w:r>
      <w:r>
        <w:rPr>
          <w:b/>
        </w:rPr>
        <w:t>Predictive Analytics:</w:t>
      </w:r>
      <w:r>
        <w:t xml:space="preserve"> Multiple Linear Regression effectively models customer purchase value ($R^2 = 0.8569$), offering retail managers a mathematical formula for revenue prediction.</w:t>
      </w:r>
    </w:p>
    <w:p>
      <w:pPr>
        <w:spacing w:before="280" w:after="120"/>
      </w:pPr>
      <w:r>
        <w:rPr>
          <w:b/>
          <w:color w:val="2B6CB0"/>
          <w:sz w:val="30"/>
        </w:rPr>
        <w:t>10. Conclusion</w:t>
      </w:r>
    </w:p>
    <w:p>
      <w:pPr>
        <w:spacing w:before="200" w:after="80"/>
      </w:pPr>
      <w:r>
        <w:rPr>
          <w:b/>
          <w:color w:val="2D3748"/>
          <w:sz w:val="24"/>
        </w:rPr>
        <w:t>10.1 What Was Learned</w:t>
      </w:r>
    </w:p>
    <w:p>
      <w:pPr>
        <w:spacing w:after="120"/>
      </w:pPr>
      <w:r>
        <w:t>Through this comprehensive lab experiment, we successfully executed:</w:t>
      </w:r>
    </w:p>
    <w:p>
      <w:pPr>
        <w:pStyle w:val="ListBullet"/>
        <w:spacing w:after="60"/>
      </w:pPr>
      <w:r>
        <w:t>End-to-end data preprocessing (cleaning, missing/duplicate verification, categorical encoding, standardization).</w:t>
      </w:r>
    </w:p>
    <w:p>
      <w:pPr>
        <w:pStyle w:val="ListBullet"/>
        <w:spacing w:after="60"/>
      </w:pPr>
      <w:r>
        <w:t>Eight (8) visual Exploratory Data Analysis (EDA) charts.</w:t>
      </w:r>
    </w:p>
    <w:p>
      <w:pPr>
        <w:pStyle w:val="ListBullet"/>
        <w:spacing w:after="60"/>
      </w:pPr>
      <w:r>
        <w:t>Supervised classification, unsupervised K-Means customer clustering, and predictive linear regression.</w:t>
      </w:r>
    </w:p>
    <w:p>
      <w:pPr>
        <w:spacing w:before="200" w:after="80"/>
      </w:pPr>
      <w:r>
        <w:rPr>
          <w:b/>
          <w:color w:val="2D3748"/>
          <w:sz w:val="24"/>
        </w:rPr>
        <w:t>10.2 Future Improvements</w:t>
      </w:r>
    </w:p>
    <w:p>
      <w:pPr>
        <w:pStyle w:val="ListBullet"/>
        <w:spacing w:after="60"/>
      </w:pPr>
      <w:r/>
      <w:r>
        <w:rPr>
          <w:b/>
        </w:rPr>
        <w:t>Time-Series Sales Forecasting:</w:t>
      </w:r>
      <w:r>
        <w:t xml:space="preserve"> Apply ARIMA or Facebook Prophet models to forecast monthly revenue trends.</w:t>
      </w:r>
    </w:p>
    <w:p>
      <w:pPr>
        <w:pStyle w:val="ListBullet"/>
        <w:spacing w:after="60"/>
      </w:pPr>
      <w:r/>
      <w:r>
        <w:rPr>
          <w:b/>
        </w:rPr>
        <w:t>Association Rule Mining:</w:t>
      </w:r>
      <w:r>
        <w:t xml:space="preserve"> Implement Apriori or FP-Growth algorithms on market basket transaction logs to discover frequent item pairings.</w:t>
      </w:r>
    </w:p>
    <w:p>
      <w:pPr>
        <w:spacing w:before="280" w:after="120"/>
      </w:pPr>
      <w:r>
        <w:rPr>
          <w:b/>
          <w:color w:val="2B6CB0"/>
          <w:sz w:val="30"/>
        </w:rPr>
        <w:t>11. References</w:t>
      </w:r>
    </w:p>
    <w:p>
      <w:pPr>
        <w:spacing w:after="120"/>
      </w:pPr>
      <w:r>
        <w:t>1. Kaggle Retail Sales Dataset: [https://www.kaggle.com/datasets/ahmedabdelhamidme/retail-sales-dataset](https://www.kaggle.com/datasets/ahmedabdelhamidme/retail-sales-dataset)</w:t>
      </w:r>
    </w:p>
    <w:p>
      <w:pPr>
        <w:spacing w:after="120"/>
      </w:pPr>
      <w:r>
        <w:t xml:space="preserve">2. Han, J., Kamber, M., &amp; Pei, J. (2011). </w:t>
      </w:r>
      <w:r>
        <w:rPr>
          <w:i/>
        </w:rPr>
        <w:t>Data Mining: Concepts and Techniques</w:t>
      </w:r>
      <w:r>
        <w:t xml:space="preserve"> (3rd ed.). Morgan Kaufmann Publishers.</w:t>
      </w:r>
    </w:p>
    <w:p>
      <w:pPr>
        <w:spacing w:after="120"/>
      </w:pPr>
      <w:r>
        <w:t xml:space="preserve">3. Tan, P. N., Steinbach, M., &amp; Kumar, V. (2016). </w:t>
      </w:r>
      <w:r>
        <w:rPr>
          <w:i/>
        </w:rPr>
        <w:t>Introduction to Data Mining</w:t>
      </w:r>
      <w:r>
        <w:t>. Pearson.</w:t>
      </w:r>
    </w:p>
    <w:p>
      <w:pPr>
        <w:spacing w:after="120"/>
      </w:pPr>
      <w:r>
        <w:t>4. Scikit-learn Machine Learning Documentation: [https://scikit-learn.org/stable/](https://scikit-learn.org/stable/)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