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29.png" ContentType="image/png"/>
  <Override PartName="/word/media/rId143.png" ContentType="image/png"/>
  <Override PartName="/word/media/rId147.png" ContentType="image/png"/>
  <Override PartName="/word/media/rId152.png" ContentType="image/png"/>
  <Override PartName="/word/media/rId156.png" ContentType="image/png"/>
  <Override PartName="/word/media/rId161.png" ContentType="image/png"/>
  <Override PartName="/word/media/rId165.png" ContentType="image/png"/>
  <Override PartName="/word/media/rId170.png" ContentType="image/png"/>
  <Override PartName="/word/media/rId174.png" ContentType="image/png"/>
  <Override PartName="/word/media/rId180.png" ContentType="image/png"/>
  <Override PartName="/word/media/rId184.png" ContentType="image/png"/>
  <Override PartName="/word/media/rId33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00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1.png" ContentType="image/png"/>
  <Override PartName="/word/media/rId225.png" ContentType="image/png"/>
  <Override PartName="/word/media/rId37.png" ContentType="image/png"/>
  <Override PartName="/word/media/rId229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Основы кибербезопасности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информационной безопасности и закрепить практические навыки прохождения тестовых заданий</w:t>
      </w:r>
    </w:p>
    <w:bookmarkEnd w:id="20"/>
    <w:bookmarkStart w:id="113" w:name="безопасность-сети"/>
    <w:p>
      <w:pPr>
        <w:pStyle w:val="Heading1"/>
      </w:pPr>
      <w:r>
        <w:t xml:space="preserve">2. Безопасность сети</w:t>
      </w:r>
    </w:p>
    <w:bookmarkStart w:id="57" w:name="Xb0eb2956f5a319c605d3579530fad949122489e"/>
    <w:p>
      <w:pPr>
        <w:pStyle w:val="Heading2"/>
      </w:pPr>
      <w:r>
        <w:t xml:space="preserve">2.1 Как работает интернет:базовые сетевые протоколы</w:t>
      </w:r>
    </w:p>
    <w:p>
      <w:pPr>
        <w:pStyle w:val="FirstParagraph"/>
      </w:pPr>
      <w:r>
        <w:t xml:space="preserve">HTTPS — это протокол прикладного уровня, который используется для безопасной передачи веб-данных.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9592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5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1.1.1 задание</w:t>
            </w:r>
          </w:p>
          <w:bookmarkEnd w:id="24"/>
        </w:tc>
      </w:tr>
    </w:tbl>
    <w:p>
      <w:pPr>
        <w:pStyle w:val="BodyText"/>
      </w:pPr>
      <w:r>
        <w:t xml:space="preserve">Транспортном — TCP работает на транспортном уровне и отвечает за надежную передачу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493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9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1.1.2 задание</w:t>
            </w:r>
          </w:p>
          <w:bookmarkEnd w:id="28"/>
        </w:tc>
      </w:tr>
    </w:tbl>
    <w:p>
      <w:pPr>
        <w:pStyle w:val="BodyText"/>
      </w:pPr>
      <w:r>
        <w:t xml:space="preserve">90.11.90.22 и 25.198.0.15 — в IPv4 каждый октет должен быть от 0 до 255, а в первых двух адресах есть числа больше 255.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29455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4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1.1.3 задание</w:t>
            </w:r>
          </w:p>
          <w:bookmarkEnd w:id="32"/>
        </w:tc>
      </w:tr>
    </w:tbl>
    <w:p>
      <w:pPr>
        <w:pStyle w:val="BodyText"/>
      </w:pPr>
      <w:r>
        <w:t xml:space="preserve">DNS переводит понятные человеку домены в IP-адреса.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05657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1.1.4</w:t>
            </w:r>
          </w:p>
          <w:bookmarkEnd w:id="36"/>
        </w:tc>
      </w:tr>
    </w:tbl>
    <w:p>
      <w:pPr>
        <w:pStyle w:val="BodyText"/>
      </w:pPr>
      <w:r>
        <w:t xml:space="preserve">прикладной → транспортный → сетевой → канальный — это правильный порядок уровней модели TCP/IP сверху вниз.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04633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1.1.5 задание</w:t>
            </w:r>
          </w:p>
          <w:bookmarkEnd w:id="40"/>
        </w:tc>
      </w:tr>
    </w:tbl>
    <w:p>
      <w:pPr>
        <w:pStyle w:val="BodyText"/>
      </w:pPr>
      <w:r>
        <w:t xml:space="preserve">обычный HTTP не шифрует трафик.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83855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8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1.1.6 задание</w:t>
            </w:r>
          </w:p>
          <w:bookmarkEnd w:id="44"/>
        </w:tc>
      </w:tr>
    </w:tbl>
    <w:p>
      <w:pPr>
        <w:pStyle w:val="BodyText"/>
      </w:pPr>
      <w:r>
        <w:t xml:space="preserve">HTTPS сначала устанавливает защищённое соединение, затем передаёт данные.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07033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1.1.7 задание</w:t>
            </w:r>
          </w:p>
          <w:bookmarkEnd w:id="48"/>
        </w:tc>
      </w:tr>
    </w:tbl>
    <w:p>
      <w:pPr>
        <w:pStyle w:val="BodyText"/>
      </w:pPr>
      <w:r>
        <w:t xml:space="preserve">и клиентом, и сервером в процессе</w:t>
      </w:r>
      <w:r>
        <w:t xml:space="preserve"> </w:t>
      </w:r>
      <w:r>
        <w:t xml:space="preserve">“переговоров”</w:t>
      </w:r>
      <w:r>
        <w:t xml:space="preserve"> </w:t>
      </w:r>
      <w:r>
        <w:t xml:space="preserve">— версия TLS выбирается обеими сторонами во время handshake.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09114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1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1.1.8 задание</w:t>
            </w:r>
          </w:p>
          <w:bookmarkEnd w:id="52"/>
        </w:tc>
      </w:tr>
    </w:tbl>
    <w:p>
      <w:pPr>
        <w:pStyle w:val="BodyText"/>
      </w:pPr>
      <w:r>
        <w:t xml:space="preserve">шифрование данных — в фазе рукопожатия TLS только договаривается о ключах и алгоритмах, а само шифрование начинается после неё.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08295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1.1.9 задание</w:t>
            </w:r>
          </w:p>
          <w:bookmarkEnd w:id="56"/>
        </w:tc>
      </w:tr>
    </w:tbl>
    <w:bookmarkEnd w:id="57"/>
    <w:bookmarkStart w:id="74" w:name="персонализация-сети"/>
    <w:p>
      <w:pPr>
        <w:pStyle w:val="Heading2"/>
      </w:pPr>
      <w:r>
        <w:t xml:space="preserve">2.2 Персонализация сети</w:t>
      </w:r>
    </w:p>
    <w:p>
      <w:pPr>
        <w:pStyle w:val="FirstParagraph"/>
      </w:pPr>
      <w:r>
        <w:t xml:space="preserve">Куки обычно хранят данные для авторизации и персонализации, но не пароль и не IP.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86415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1.2.1</w:t>
            </w:r>
          </w:p>
          <w:bookmarkEnd w:id="61"/>
        </w:tc>
      </w:tr>
    </w:tbl>
    <w:p>
      <w:pPr>
        <w:pStyle w:val="BodyText"/>
      </w:pPr>
      <w:r>
        <w:t xml:space="preserve">куки нужны для авторизации, персонализации и аналитики, а не для работы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10888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1.2.2 задание</w:t>
            </w:r>
          </w:p>
          <w:bookmarkEnd w:id="65"/>
        </w:tc>
      </w:tr>
    </w:tbl>
    <w:p>
      <w:pPr>
        <w:pStyle w:val="BodyText"/>
      </w:pPr>
      <w:r>
        <w:t xml:space="preserve">сервером — сервер создаёт cookie и отправляет её браузеру через HTTP-заголовок.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40395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3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1.2.3 задание</w:t>
            </w:r>
          </w:p>
          <w:bookmarkEnd w:id="69"/>
        </w:tc>
      </w:tr>
    </w:tbl>
    <w:p>
      <w:pPr>
        <w:pStyle w:val="BodyText"/>
      </w:pPr>
      <w:r>
        <w:t xml:space="preserve">Да, на время пользования веб-сайтом — сессионные куки хранятся до закрытия браузера или завершения сессии.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97883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1.2.4 задание</w:t>
            </w:r>
          </w:p>
          <w:bookmarkEnd w:id="73"/>
        </w:tc>
      </w:tr>
    </w:tbl>
    <w:bookmarkEnd w:id="74"/>
    <w:bookmarkStart w:id="91" w:name="браузер-tor.-анонимизация"/>
    <w:p>
      <w:pPr>
        <w:pStyle w:val="Heading2"/>
      </w:pPr>
      <w:r>
        <w:t xml:space="preserve">2.3 Браузер TOR. Анонимизация</w:t>
      </w:r>
    </w:p>
    <w:p>
      <w:pPr>
        <w:pStyle w:val="FirstParagraph"/>
      </w:pPr>
      <w:r>
        <w:t xml:space="preserve">в классической цепочке TOR используются входной (охранный), промежуточный и выходной узлы.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96515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5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1.3.1</w:t>
            </w:r>
          </w:p>
          <w:bookmarkEnd w:id="78"/>
        </w:tc>
      </w:tr>
    </w:tbl>
    <w:p>
      <w:pPr>
        <w:pStyle w:val="BodyText"/>
      </w:pPr>
      <w:r>
        <w:t xml:space="preserve">отправителю и выходному узлу — отправитель знает адрес получателя, а выходной узел видит, куда отправляет трафик.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23227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2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1.3.2 задание</w:t>
            </w:r>
          </w:p>
          <w:bookmarkEnd w:id="82"/>
        </w:tc>
      </w:tr>
    </w:tbl>
    <w:p>
      <w:pPr>
        <w:pStyle w:val="BodyText"/>
      </w:pPr>
      <w:r>
        <w:t xml:space="preserve">с охранным, промежуточным и выходным узлом — для каждого узла TOR создаётся отдельный общий секретный ключ.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05305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1.3.3 задание</w:t>
            </w:r>
          </w:p>
          <w:bookmarkEnd w:id="86"/>
        </w:tc>
      </w:tr>
    </w:tbl>
    <w:p>
      <w:pPr>
        <w:pStyle w:val="BodyText"/>
      </w:pPr>
      <w:r>
        <w:t xml:space="preserve">получателю не нужен Tor, потому что для него соединение выглядит как обычный запрос от выходного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96727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7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1.3.4 задание</w:t>
            </w:r>
          </w:p>
          <w:bookmarkEnd w:id="90"/>
        </w:tc>
      </w:tr>
    </w:tbl>
    <w:bookmarkEnd w:id="91"/>
    <w:bookmarkStart w:id="112" w:name="беспроводные-сети-wi-fi"/>
    <w:p>
      <w:pPr>
        <w:pStyle w:val="Heading2"/>
      </w:pPr>
      <w:r>
        <w:t xml:space="preserve">2.4 Беспроводные сети WI-FI</w:t>
      </w:r>
    </w:p>
    <w:p>
      <w:pPr>
        <w:pStyle w:val="FirstParagraph"/>
      </w:pPr>
      <w:r>
        <w:t xml:space="preserve">Wi-Fi это стандарт беспроводной передачи данных в локальной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024155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1.4.1</w:t>
            </w:r>
          </w:p>
          <w:bookmarkEnd w:id="95"/>
        </w:tc>
      </w:tr>
    </w:tbl>
    <w:p>
      <w:pPr>
        <w:pStyle w:val="BodyText"/>
      </w:pPr>
      <w:r>
        <w:t xml:space="preserve">Wi-Fi работает на канальном уровне модели OSI, обеспечивая передачу кадров по радиоканалу.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2074637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1.4.2</w:t>
            </w:r>
          </w:p>
          <w:bookmarkEnd w:id="99"/>
        </w:tc>
      </w:tr>
    </w:tbl>
    <w:p>
      <w:pPr>
        <w:pStyle w:val="BodyText"/>
      </w:pPr>
      <w:r>
        <w:t xml:space="preserve">WEP считается небезопасным, потому что его шифрование давно легко взламывается.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04887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8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1.4.3 задание</w:t>
            </w:r>
          </w:p>
          <w:bookmarkEnd w:id="103"/>
        </w:tc>
      </w:tr>
    </w:tbl>
    <w:p>
      <w:pPr>
        <w:pStyle w:val="BodyText"/>
      </w:pPr>
      <w:r>
        <w:t xml:space="preserve">после проверки доступа Wi-Fi шифрует трафик между устройством и роутером.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2028071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8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1.4.4 задание</w:t>
            </w:r>
          </w:p>
          <w:bookmarkEnd w:id="107"/>
        </w:tc>
      </w:tr>
    </w:tbl>
    <w:p>
      <w:pPr>
        <w:pStyle w:val="BodyText"/>
      </w:pPr>
      <w:r>
        <w:t xml:space="preserve">для домашних сетей обычно используют WPA2 Personal с общим паролем Wi-Fi.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188219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1.4.5 задание</w:t>
            </w:r>
          </w:p>
          <w:bookmarkEnd w:id="111"/>
        </w:tc>
      </w:tr>
    </w:tbl>
    <w:bookmarkEnd w:id="112"/>
    <w:bookmarkEnd w:id="113"/>
    <w:bookmarkStart w:id="179" w:name="защита-пктелефона"/>
    <w:p>
      <w:pPr>
        <w:pStyle w:val="Heading1"/>
      </w:pPr>
      <w:r>
        <w:t xml:space="preserve">3. Защита пк/телефона</w:t>
      </w:r>
    </w:p>
    <w:bookmarkStart w:id="126" w:name="шифрование-диска"/>
    <w:p>
      <w:pPr>
        <w:pStyle w:val="Heading2"/>
      </w:pPr>
      <w:r>
        <w:t xml:space="preserve">3.1 Шифрование диска</w:t>
      </w:r>
    </w:p>
    <w:p>
      <w:pPr>
        <w:pStyle w:val="FirstParagraph"/>
      </w:pPr>
      <w:r>
        <w:t xml:space="preserve">современные системы шифрования диска могут шифровать даже загрузочный сектор и системный раздел.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185994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9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2.1.1</w:t>
            </w:r>
          </w:p>
          <w:bookmarkEnd w:id="117"/>
        </w:tc>
      </w:tr>
    </w:tbl>
    <w:p>
      <w:pPr>
        <w:pStyle w:val="BodyText"/>
      </w:pPr>
      <w:r>
        <w:t xml:space="preserve">шифрование диска обычно использует один общий ключ для шифрования и расшифровки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1995458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5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2.1.2 задание</w:t>
            </w:r>
          </w:p>
          <w:bookmarkEnd w:id="121"/>
        </w:tc>
      </w:tr>
    </w:tbl>
    <w:p>
      <w:pPr>
        <w:pStyle w:val="BodyText"/>
      </w:pPr>
      <w:r>
        <w:t xml:space="preserve">эти программы поддерживают шифрование дисков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207743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7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2.1.3 задание</w:t>
            </w:r>
          </w:p>
          <w:bookmarkEnd w:id="125"/>
        </w:tc>
      </w:tr>
    </w:tbl>
    <w:bookmarkEnd w:id="126"/>
    <w:bookmarkStart w:id="151" w:name="пароли"/>
    <w:p>
      <w:pPr>
        <w:pStyle w:val="Heading2"/>
      </w:pPr>
      <w:r>
        <w:t xml:space="preserve">3.2 Пароли</w:t>
      </w:r>
    </w:p>
    <w:p>
      <w:pPr>
        <w:pStyle w:val="FirstParagraph"/>
      </w:pPr>
      <w:r>
        <w:t xml:space="preserve">этот пароль стойкий, потому что содержит буквы разного регистра, цифры и спецсимволы.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6"/>
          <w:p>
            <w:pPr>
              <w:pStyle w:val="Compact"/>
              <w:jc w:val="center"/>
            </w:pPr>
            <w:r>
              <w:drawing>
                <wp:inline>
                  <wp:extent cx="3733800" cy="207066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2.2.1 задание</w:t>
            </w:r>
          </w:p>
          <w:bookmarkEnd w:id="130"/>
        </w:tc>
      </w:tr>
    </w:tbl>
    <w:p>
      <w:pPr>
        <w:pStyle w:val="BodyText"/>
      </w:pPr>
      <w:r>
        <w:t xml:space="preserve">менеджеры паролей безопасно хранят и шифруют данные для входа.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7"/>
          <w:p>
            <w:pPr>
              <w:pStyle w:val="Compact"/>
              <w:jc w:val="center"/>
            </w:pPr>
            <w:r>
              <w:drawing>
                <wp:inline>
                  <wp:extent cx="3733800" cy="2203278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3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2.2.2 задание</w:t>
            </w:r>
          </w:p>
          <w:bookmarkEnd w:id="134"/>
        </w:tc>
      </w:tr>
    </w:tbl>
    <w:p>
      <w:pPr>
        <w:pStyle w:val="BodyText"/>
      </w:pPr>
      <w:r>
        <w:t xml:space="preserve">капча помогает отличить человека от бота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207585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2.2.3</w:t>
            </w:r>
          </w:p>
          <w:bookmarkEnd w:id="138"/>
        </w:tc>
      </w:tr>
    </w:tbl>
    <w:p>
      <w:pPr>
        <w:pStyle w:val="BodyText"/>
      </w:pPr>
      <w:r>
        <w:t xml:space="preserve">хэширование позволяет хранить только хэш пароля, а не сам пароль.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9"/>
          <w:p>
            <w:pPr>
              <w:pStyle w:val="Compact"/>
              <w:jc w:val="center"/>
            </w:pPr>
            <w:r>
              <w:drawing>
                <wp:inline>
                  <wp:extent cx="3733800" cy="2079515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9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2.2.4 задание</w:t>
            </w:r>
          </w:p>
          <w:bookmarkEnd w:id="142"/>
        </w:tc>
      </w:tr>
    </w:tbl>
    <w:p>
      <w:pPr>
        <w:pStyle w:val="BodyText"/>
      </w:pPr>
      <w:r>
        <w:t xml:space="preserve">соль делает одинаковые пароли разными в базе и усложняет перебор и использование радужных таблиц.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0"/>
          <w:p>
            <w:pPr>
              <w:pStyle w:val="Compact"/>
              <w:jc w:val="center"/>
            </w:pPr>
            <w:r>
              <w:drawing>
                <wp:inline>
                  <wp:extent cx="3733800" cy="190356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3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2.2.5 задание</w:t>
            </w:r>
          </w:p>
          <w:bookmarkEnd w:id="146"/>
        </w:tc>
      </w:tr>
    </w:tbl>
    <w:p>
      <w:pPr>
        <w:pStyle w:val="BodyText"/>
      </w:pPr>
      <w:r>
        <w:t xml:space="preserve">эти меры усложняют автоматический перебор и уменьшают риск взлома аккаунтов.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1"/>
          <w:p>
            <w:pPr>
              <w:pStyle w:val="Compact"/>
              <w:jc w:val="center"/>
            </w:pPr>
            <w:r>
              <w:drawing>
                <wp:inline>
                  <wp:extent cx="3733800" cy="2303246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3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2.2.6 задание</w:t>
            </w:r>
          </w:p>
          <w:bookmarkEnd w:id="150"/>
        </w:tc>
      </w:tr>
    </w:tbl>
    <w:bookmarkEnd w:id="151"/>
    <w:bookmarkStart w:id="160" w:name="фишинг"/>
    <w:p>
      <w:pPr>
        <w:pStyle w:val="Heading2"/>
      </w:pPr>
      <w:r>
        <w:t xml:space="preserve">3.3 Фишинг</w:t>
      </w:r>
    </w:p>
    <w:p>
      <w:pPr>
        <w:pStyle w:val="FirstParagraph"/>
      </w:pPr>
      <w:r>
        <w:t xml:space="preserve">фишинговые письма могут приходить даже с адресов знакомых, если их аккаунт был взломан или подделан.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2"/>
          <w:p>
            <w:pPr>
              <w:pStyle w:val="Compact"/>
              <w:jc w:val="center"/>
            </w:pPr>
            <w:r>
              <w:drawing>
                <wp:inline>
                  <wp:extent cx="3733800" cy="22600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0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2.3.1</w:t>
            </w:r>
          </w:p>
          <w:bookmarkEnd w:id="155"/>
        </w:tc>
      </w:tr>
    </w:tbl>
    <w:p>
      <w:pPr>
        <w:pStyle w:val="BodyText"/>
      </w:pPr>
      <w:r>
        <w:t xml:space="preserve">это фишинговые ссылки, потому что настоящие домены Google, Сбербанка и Яндекса здесь подменены (google.com.br, wix.ru, ucoz.ru).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3"/>
          <w:p>
            <w:pPr>
              <w:pStyle w:val="Compact"/>
              <w:jc w:val="center"/>
            </w:pPr>
            <w:r>
              <w:drawing>
                <wp:inline>
                  <wp:extent cx="3733800" cy="1892357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2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2.3.2 задание</w:t>
            </w:r>
          </w:p>
          <w:bookmarkEnd w:id="159"/>
        </w:tc>
      </w:tr>
    </w:tbl>
    <w:bookmarkEnd w:id="160"/>
    <w:bookmarkStart w:id="169" w:name="вирусы.примеры"/>
    <w:p>
      <w:pPr>
        <w:pStyle w:val="Heading2"/>
      </w:pPr>
      <w:r>
        <w:t xml:space="preserve">3.4 Вирусы.Примеры</w:t>
      </w:r>
    </w:p>
    <w:p>
      <w:pPr>
        <w:pStyle w:val="FirstParagraph"/>
      </w:pPr>
      <w:r>
        <w:t xml:space="preserve">Email Spoofing это отправка писем с поддельным адресом отправителя.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4"/>
          <w:p>
            <w:pPr>
              <w:pStyle w:val="Compact"/>
              <w:jc w:val="center"/>
            </w:pPr>
            <w:r>
              <w:drawing>
                <wp:inline>
                  <wp:extent cx="3733800" cy="2131988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1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2.4.1 задание</w:t>
            </w:r>
          </w:p>
          <w:bookmarkEnd w:id="164"/>
        </w:tc>
      </w:tr>
    </w:tbl>
    <w:p>
      <w:pPr>
        <w:pStyle w:val="BodyText"/>
      </w:pPr>
      <w:r>
        <w:t xml:space="preserve">троян выглядит как полезная программа, но выполняет вредоносные действия.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5"/>
          <w:p>
            <w:pPr>
              <w:pStyle w:val="Compact"/>
              <w:jc w:val="center"/>
            </w:pPr>
            <w:r>
              <w:drawing>
                <wp:inline>
                  <wp:extent cx="3733800" cy="2029474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9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2.4.2 задание</w:t>
            </w:r>
          </w:p>
          <w:bookmarkEnd w:id="168"/>
        </w:tc>
      </w:tr>
    </w:tbl>
    <w:bookmarkEnd w:id="169"/>
    <w:bookmarkStart w:id="178" w:name="безопасность-мессенджеров"/>
    <w:p>
      <w:pPr>
        <w:pStyle w:val="Heading2"/>
      </w:pPr>
      <w:r>
        <w:t xml:space="preserve">3.5 Безопасность мессенджеров</w:t>
      </w:r>
    </w:p>
    <w:p>
      <w:pPr>
        <w:pStyle w:val="FirstParagraph"/>
      </w:pPr>
      <w:r>
        <w:t xml:space="preserve">В протоколе Signal используется Double Ratchet — ключи постоянно обновляются для каждого нового сообщения, что повышает безопасность переписки.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036"/>
          <w:p>
            <w:pPr>
              <w:pStyle w:val="Compact"/>
              <w:jc w:val="center"/>
            </w:pPr>
            <w:r>
              <w:drawing>
                <wp:inline>
                  <wp:extent cx="3733800" cy="205657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2.5.1 задание</w:t>
            </w:r>
          </w:p>
          <w:bookmarkEnd w:id="173"/>
        </w:tc>
      </w:tr>
    </w:tbl>
    <w:p>
      <w:pPr>
        <w:pStyle w:val="BodyText"/>
      </w:pPr>
      <w:r>
        <w:t xml:space="preserve">Сервер участвует в передаче, но не может прочитать содержимое сообщений, потому что расшифровать их могут только отправитель и получатель.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37"/>
          <w:p>
            <w:pPr>
              <w:pStyle w:val="Compact"/>
              <w:jc w:val="center"/>
            </w:pPr>
            <w:r>
              <w:drawing>
                <wp:inline>
                  <wp:extent cx="3733800" cy="2072808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2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2.5.2 задание</w:t>
            </w:r>
          </w:p>
          <w:bookmarkEnd w:id="177"/>
        </w:tc>
      </w:tr>
    </w:tbl>
    <w:bookmarkEnd w:id="178"/>
    <w:bookmarkEnd w:id="179"/>
    <w:bookmarkStart w:id="252" w:name="криптография-на-практике"/>
    <w:p>
      <w:pPr>
        <w:pStyle w:val="Heading1"/>
      </w:pPr>
      <w:r>
        <w:t xml:space="preserve">4. Криптография на практике</w:t>
      </w:r>
    </w:p>
    <w:p>
      <w:pPr>
        <w:pStyle w:val="FirstParagraph"/>
      </w:pPr>
      <w:r>
        <w:t xml:space="preserve">обе стороны имеют пару ключей — в асимметричной криптографии используются открытый и закрытый ключи.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38"/>
          <w:p>
            <w:pPr>
              <w:pStyle w:val="Compact"/>
              <w:jc w:val="center"/>
            </w:pPr>
            <w:r>
              <w:drawing>
                <wp:inline>
                  <wp:extent cx="3733800" cy="2018560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3.1.1 задание</w:t>
            </w:r>
          </w:p>
          <w:bookmarkEnd w:id="183"/>
        </w:tc>
      </w:tr>
    </w:tbl>
    <w:p>
      <w:pPr>
        <w:pStyle w:val="BodyText"/>
      </w:pPr>
      <w:r>
        <w:t xml:space="preserve">стойкая к коллизиям, эффективно вычисляется, даёт на выходе фиксированное число бит независимо от объёма входных данных — это свойства криптографической хэш-функции.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39"/>
          <w:p>
            <w:pPr>
              <w:pStyle w:val="Compact"/>
              <w:jc w:val="center"/>
            </w:pPr>
            <w:r>
              <w:drawing>
                <wp:inline>
                  <wp:extent cx="3733800" cy="229496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4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3.1.2 задание</w:t>
            </w:r>
          </w:p>
          <w:bookmarkEnd w:id="187"/>
        </w:tc>
      </w:tr>
    </w:tbl>
    <w:p>
      <w:pPr>
        <w:pStyle w:val="BodyText"/>
      </w:pPr>
      <w:r>
        <w:t xml:space="preserve">RSA, ECDSA, ГОСТ Р 34.10-2012 — это алгоритмы цифровой подписи; AES — шифрование, SHA2 — хэширование.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40"/>
          <w:p>
            <w:pPr>
              <w:pStyle w:val="Compact"/>
              <w:jc w:val="center"/>
            </w:pPr>
            <w:r>
              <w:drawing>
                <wp:inline>
                  <wp:extent cx="3733800" cy="230585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5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3.1.3 задание</w:t>
            </w:r>
          </w:p>
          <w:bookmarkEnd w:id="191"/>
        </w:tc>
      </w:tr>
    </w:tbl>
    <w:p>
      <w:pPr>
        <w:pStyle w:val="BodyText"/>
      </w:pPr>
      <w:r>
        <w:t xml:space="preserve">MAC использует общий секретный ключ для проверки целостности и подлинности сообщения.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041"/>
          <w:p>
            <w:pPr>
              <w:pStyle w:val="Compact"/>
              <w:jc w:val="center"/>
            </w:pPr>
            <w:r>
              <w:drawing>
                <wp:inline>
                  <wp:extent cx="3733800" cy="1910316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03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3.1.4</w:t>
            </w:r>
          </w:p>
          <w:bookmarkEnd w:id="195"/>
        </w:tc>
      </w:tr>
    </w:tbl>
    <w:p>
      <w:pPr>
        <w:pStyle w:val="BodyText"/>
      </w:pPr>
      <w:r>
        <w:t xml:space="preserve">асимметричный примитив генерации общего секретного ключа — Диффи-Хеллман позволяет сторонам безопасно выработать общий секрет через открытый канал.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042"/>
          <w:p>
            <w:pPr>
              <w:pStyle w:val="Compact"/>
              <w:jc w:val="center"/>
            </w:pPr>
            <w:r>
              <w:drawing>
                <wp:inline>
                  <wp:extent cx="3733800" cy="2045732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5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3.1.5 задание</w:t>
            </w:r>
          </w:p>
          <w:bookmarkEnd w:id="199"/>
        </w:tc>
      </w:tr>
    </w:tbl>
    <w:bookmarkStart w:id="220" w:name="цифровая-подпись"/>
    <w:p>
      <w:pPr>
        <w:pStyle w:val="Heading2"/>
      </w:pPr>
      <w:r>
        <w:t xml:space="preserve">4.1 Цифровая подпись</w:t>
      </w:r>
    </w:p>
    <w:p>
      <w:pPr>
        <w:pStyle w:val="FirstParagraph"/>
      </w:pPr>
      <w:r>
        <w:t xml:space="preserve">ЭЦП использует пару открытого и закрытого ключей.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043"/>
          <w:p>
            <w:pPr>
              <w:pStyle w:val="Compact"/>
              <w:jc w:val="center"/>
            </w:pPr>
            <w:r>
              <w:drawing>
                <wp:inline>
                  <wp:extent cx="3733800" cy="1868275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3.2.1 задание</w:t>
            </w:r>
          </w:p>
          <w:bookmarkEnd w:id="203"/>
        </w:tc>
      </w:tr>
    </w:tbl>
    <w:p>
      <w:pPr>
        <w:pStyle w:val="BodyText"/>
      </w:pPr>
      <w:r>
        <w:t xml:space="preserve">для проверки ЭЦП нужны сама подпись, исходное сообщение и публичный ключ автора.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044"/>
          <w:p>
            <w:pPr>
              <w:pStyle w:val="Compact"/>
              <w:jc w:val="center"/>
            </w:pPr>
            <w:r>
              <w:drawing>
                <wp:inline>
                  <wp:extent cx="3733800" cy="208971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3.2.2 задание</w:t>
            </w:r>
          </w:p>
          <w:bookmarkEnd w:id="207"/>
        </w:tc>
      </w:tr>
    </w:tbl>
    <w:p>
      <w:pPr>
        <w:pStyle w:val="BodyText"/>
      </w:pPr>
      <w:r>
        <w:t xml:space="preserve">ЭЦП подтверждает автора и целостность данных, но не шифрует информацию.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045"/>
          <w:p>
            <w:pPr>
              <w:pStyle w:val="Compact"/>
              <w:jc w:val="center"/>
            </w:pPr>
            <w:r>
              <w:drawing>
                <wp:inline>
                  <wp:extent cx="3733800" cy="2039083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9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3.2.3 задание</w:t>
            </w:r>
          </w:p>
          <w:bookmarkEnd w:id="211"/>
        </w:tc>
      </w:tr>
    </w:tbl>
    <w:p>
      <w:pPr>
        <w:pStyle w:val="BodyText"/>
      </w:pPr>
      <w:r>
        <w:t xml:space="preserve">для отправки налоговой отчётности в ФНС требуется именно такой тип подписи.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047"/>
          <w:p>
            <w:pPr>
              <w:pStyle w:val="Compact"/>
              <w:jc w:val="center"/>
            </w:pPr>
            <w:r>
              <w:drawing>
                <wp:inline>
                  <wp:extent cx="3733800" cy="2018726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3.2.4 задание</w:t>
            </w:r>
          </w:p>
          <w:bookmarkEnd w:id="215"/>
        </w:tc>
      </w:tr>
    </w:tbl>
    <w:p>
      <w:pPr>
        <w:pStyle w:val="BodyText"/>
      </w:pPr>
      <w:r>
        <w:t xml:space="preserve">квалифицированные сертификаты ЭЦП выдаются аккредитованными УЦ.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047"/>
          <w:p>
            <w:pPr>
              <w:pStyle w:val="Compact"/>
              <w:jc w:val="center"/>
            </w:pPr>
            <w:r>
              <w:drawing>
                <wp:inline>
                  <wp:extent cx="3733800" cy="212445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4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3.2.5 задание</w:t>
            </w:r>
          </w:p>
          <w:bookmarkEnd w:id="219"/>
        </w:tc>
      </w:tr>
    </w:tbl>
    <w:bookmarkEnd w:id="220"/>
    <w:bookmarkStart w:id="233" w:name="электронные-платежи"/>
    <w:p>
      <w:pPr>
        <w:pStyle w:val="Heading2"/>
      </w:pPr>
      <w:r>
        <w:t xml:space="preserve">4.2 Электронные платежи</w:t>
      </w:r>
    </w:p>
    <w:p>
      <w:pPr>
        <w:pStyle w:val="FirstParagraph"/>
      </w:pPr>
      <w:r>
        <w:t xml:space="preserve">MasterCard, МИР — это реальные платёжные системы; POS-терминал и банкомат — устройства, а SecurePay — не стандартная система.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048"/>
          <w:p>
            <w:pPr>
              <w:pStyle w:val="Compact"/>
              <w:jc w:val="center"/>
            </w:pPr>
            <w:r>
              <w:drawing>
                <wp:inline>
                  <wp:extent cx="3733800" cy="2188229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8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3.3.1 задание</w:t>
            </w:r>
          </w:p>
          <w:bookmarkEnd w:id="224"/>
        </w:tc>
      </w:tr>
    </w:tbl>
    <w:p>
      <w:pPr>
        <w:pStyle w:val="BodyText"/>
      </w:pPr>
      <w:r>
        <w:t xml:space="preserve">комбинация проверка пароля + код в SMS сообщении, комбинация код в SMS сообщении + отпечаток пальца — это многофакторная аутентификация, потому что используются разные факторы подтверждения.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049"/>
          <w:p>
            <w:pPr>
              <w:pStyle w:val="Compact"/>
              <w:jc w:val="center"/>
            </w:pPr>
            <w:r>
              <w:drawing>
                <wp:inline>
                  <wp:extent cx="3733800" cy="2292635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2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3.3.2 задание</w:t>
            </w:r>
          </w:p>
          <w:bookmarkEnd w:id="228"/>
        </w:tc>
      </w:tr>
    </w:tbl>
    <w:p>
      <w:pPr>
        <w:pStyle w:val="BodyText"/>
      </w:pPr>
      <w:r>
        <w:t xml:space="preserve">онлайн-платежи сейчас обычно подтверждаются через 3D-Secure с несколькими факторами.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050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3.3.3</w:t>
            </w:r>
          </w:p>
          <w:bookmarkEnd w:id="232"/>
        </w:tc>
      </w:tr>
    </w:tbl>
    <w:bookmarkEnd w:id="233"/>
    <w:bookmarkStart w:id="246" w:name="блокчейн"/>
    <w:p>
      <w:pPr>
        <w:pStyle w:val="Heading2"/>
      </w:pPr>
      <w:r>
        <w:t xml:space="preserve">4.3 Блокчейн</w:t>
      </w:r>
    </w:p>
    <w:p>
      <w:pPr>
        <w:pStyle w:val="FirstParagraph"/>
      </w:pPr>
      <w:r>
        <w:t xml:space="preserve">сложность нахождения прообраза — в Proof of Work важно, что подходящий хэш очень трудно подобрать.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051"/>
          <w:p>
            <w:pPr>
              <w:pStyle w:val="Compact"/>
              <w:jc w:val="center"/>
            </w:pPr>
            <w:r>
              <w:drawing>
                <wp:inline>
                  <wp:extent cx="3733800" cy="2078298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8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3.4.1 задание</w:t>
            </w:r>
          </w:p>
          <w:bookmarkEnd w:id="237"/>
        </w:tc>
      </w:tr>
    </w:tbl>
    <w:p>
      <w:pPr>
        <w:pStyle w:val="BodyText"/>
      </w:pPr>
      <w:r>
        <w:t xml:space="preserve">это свойства консенсуса в блокчейне.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052"/>
          <w:p>
            <w:pPr>
              <w:pStyle w:val="Compact"/>
              <w:jc w:val="center"/>
            </w:pPr>
            <w:r>
              <w:drawing>
                <wp:inline>
                  <wp:extent cx="3733800" cy="2306658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6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3.4.2 задание</w:t>
            </w:r>
          </w:p>
          <w:bookmarkEnd w:id="241"/>
        </w:tc>
      </w:tr>
    </w:tbl>
    <w:p>
      <w:pPr>
        <w:pStyle w:val="BodyText"/>
      </w:pPr>
      <w:r>
        <w:t xml:space="preserve">цифровая подпись — участники блокчейна хранят секретные ключи именно для подписи транзакций.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053"/>
          <w:p>
            <w:pPr>
              <w:pStyle w:val="Compact"/>
              <w:jc w:val="center"/>
            </w:pPr>
            <w:r>
              <w:drawing>
                <wp:inline>
                  <wp:extent cx="3733800" cy="2007017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7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3.4.3 задание</w:t>
            </w:r>
          </w:p>
          <w:bookmarkEnd w:id="245"/>
        </w:tc>
      </w:tr>
    </w:tbl>
    <w:bookmarkEnd w:id="246"/>
    <w:bookmarkStart w:id="251" w:name="финал"/>
    <w:p>
      <w:pPr>
        <w:pStyle w:val="Heading2"/>
      </w:pPr>
      <w:r>
        <w:t xml:space="preserve">4.4 Финал</w:t>
      </w:r>
    </w:p>
    <w:p>
      <w:pPr>
        <w:pStyle w:val="FirstParagraph"/>
      </w:pPr>
      <w:r>
        <w:t xml:space="preserve">Самого серитификата не было,поэтому приложу фото прохождения курса. В скринкасте можно увидеть мое полное прохождение.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054"/>
          <w:p>
            <w:pPr>
              <w:pStyle w:val="Compact"/>
              <w:jc w:val="center"/>
            </w:pPr>
            <w:r>
              <w:drawing>
                <wp:inline>
                  <wp:extent cx="3733800" cy="251931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9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54: Сертификат и прохождении курса</w:t>
            </w:r>
          </w:p>
          <w:bookmarkEnd w:id="250"/>
        </w:tc>
      </w:tr>
    </w:tbl>
    <w:bookmarkEnd w:id="251"/>
    <w:bookmarkEnd w:id="252"/>
    <w:bookmarkStart w:id="2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выполнены успешно все тестовые задания. Я закрепил практические навыки по основам информационной безопасностти</w:t>
      </w:r>
    </w:p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29" Target="media/rId2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33" Target="media/rId33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37" Target="media/rId37.png" /><Relationship Type="http://schemas.openxmlformats.org/officeDocument/2006/relationships/image" Id="rId229" Target="media/rId229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7" Target="media/rId24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Основы кибербезопасности</dc:title>
  <dc:creator>Зубов Иван Александрович</dc:creator>
  <dc:language>ru-RU</dc:language>
  <cp:keywords/>
  <dcterms:created xsi:type="dcterms:W3CDTF">2026-05-16T00:05:30Z</dcterms:created>
  <dcterms:modified xsi:type="dcterms:W3CDTF">2026-05-16T00:05:30Z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