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jpg" ContentType="image/jpeg"/>
  <Override PartName="/word/media/rId33.jpg" ContentType="image/jpeg"/>
  <Override PartName="/word/media/rId36.jpg" ContentType="image/jpeg"/>
  <Override PartName="/word/media/rId42.jpg" ContentType="image/jpeg"/>
  <Override PartName="/word/media/rId2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Загрузка</w:t>
      </w:r>
      <w:r>
        <w:t xml:space="preserve"> </w:t>
      </w:r>
      <w:r>
        <w:t xml:space="preserve">Windows</w:t>
      </w:r>
    </w:p>
    <w:p>
      <w:pPr>
        <w:pStyle w:val="Subtitle"/>
      </w:pPr>
      <w:r>
        <w:t xml:space="preserve">Презентация</w:t>
      </w:r>
    </w:p>
    <w:p>
      <w:pPr>
        <w:pStyle w:val="Author"/>
      </w:pPr>
      <w:r>
        <w:t xml:space="preserve">Зубов</w:t>
      </w:r>
      <w:r>
        <w:t xml:space="preserve"> </w:t>
      </w:r>
      <w:r>
        <w:t xml:space="preserve">И.А.</w:t>
      </w:r>
    </w:p>
    <w:p>
      <w:pPr>
        <w:pStyle w:val="Date"/>
      </w:pPr>
      <w:r>
        <w:t xml:space="preserve">07</w:t>
      </w:r>
      <w:r>
        <w:t xml:space="preserve"> </w:t>
      </w:r>
      <w:r>
        <w:t xml:space="preserve">ноября</w:t>
      </w:r>
      <w:r>
        <w:t xml:space="preserve"> </w:t>
      </w:r>
      <w:r>
        <w:t xml:space="preserve">2025</w:t>
      </w:r>
    </w:p>
    <w:bookmarkStart w:id="21" w:name="информация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Информация</w:t>
      </w:r>
    </w:p>
    <w:bookmarkStart w:id="20" w:name="докладчик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Докладчик</w:t>
      </w:r>
    </w:p>
    <w:p>
      <w:pPr>
        <w:numPr>
          <w:ilvl w:val="0"/>
          <w:numId w:val="1001"/>
        </w:numPr>
        <w:pStyle w:val="Compact"/>
      </w:pPr>
      <w:r>
        <w:t xml:space="preserve">Зубов Иван Александрович</w:t>
      </w:r>
    </w:p>
    <w:p>
      <w:pPr>
        <w:numPr>
          <w:ilvl w:val="0"/>
          <w:numId w:val="1001"/>
        </w:numPr>
        <w:pStyle w:val="Compact"/>
      </w:pPr>
      <w:r>
        <w:t xml:space="preserve">Студент</w:t>
      </w:r>
    </w:p>
    <w:p>
      <w:pPr>
        <w:numPr>
          <w:ilvl w:val="0"/>
          <w:numId w:val="1001"/>
        </w:numPr>
        <w:pStyle w:val="Compact"/>
      </w:pPr>
      <w:r>
        <w:t xml:space="preserve">Российский университет дружбы народов</w:t>
      </w:r>
    </w:p>
    <w:p>
      <w:pPr>
        <w:numPr>
          <w:ilvl w:val="0"/>
          <w:numId w:val="1001"/>
        </w:numPr>
        <w:pStyle w:val="Compact"/>
      </w:pPr>
      <w:r>
        <w:t xml:space="preserve">1132243112@pfur.ru</w:t>
      </w:r>
    </w:p>
    <w:bookmarkEnd w:id="20"/>
    <w:bookmarkEnd w:id="21"/>
    <w:bookmarkStart w:id="22" w:name="вводная-часть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Вводная часть</w:t>
      </w:r>
    </w:p>
    <w:p>
      <w:pPr>
        <w:pStyle w:val="FirstParagraph"/>
      </w:pPr>
      <w:r>
        <w:t xml:space="preserve">Сегодня мы рассмотрим один из фундаментальных процессов, с которым сталкивается каждый пользователь компьютера - загрузка операционной системы Windows.Этот многоэтапный и строго последовательный механизм, который часто называют</w:t>
      </w:r>
      <w:r>
        <w:t xml:space="preserve"> </w:t>
      </w:r>
      <w:r>
        <w:t xml:space="preserve">“</w:t>
      </w:r>
      <w:r>
        <w:t xml:space="preserve">boot process</w:t>
      </w:r>
      <w:r>
        <w:t xml:space="preserve">”</w:t>
      </w:r>
      <w:r>
        <w:t xml:space="preserve">, превращает наш выключенный компьютер в готовый к работе инструмент. Понимание этого процесса не только интересно с технической точки зрения, но и полезно на практике, например, для диагностики неисправностей.</w:t>
      </w:r>
    </w:p>
    <w:bookmarkEnd w:id="22"/>
    <w:bookmarkStart w:id="27" w:name="Xf79ce47a9aad98661c4c56ed6e5c1545aad0b3b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Аппаратная фаза (начало и поиск загрузчика ОС)</w:t>
      </w:r>
    </w:p>
    <w:p>
      <w:pPr>
        <w:pStyle w:val="FirstParagraph"/>
      </w:pPr>
      <w:r>
        <w:t xml:space="preserve">• Начало работы - первым делом выполняется самотестирование при включении, или POST.</w:t>
      </w:r>
    </w:p>
    <w:p>
      <w:pPr>
        <w:pStyle w:val="BodyText"/>
      </w:pPr>
      <w:r>
        <w:t xml:space="preserve">• Поиск загрузчика операционной системы - BIOS/UEFI приступает к поиску загрузчика операционной системы. Он просматривает подключенные накопители в порядке, заданном в настройках.</w:t>
      </w:r>
    </w:p>
    <w:p>
      <w:pPr>
        <w:pStyle w:val="BodyText"/>
      </w:pPr>
      <w:bookmarkStart w:id="26" w:name="fig:001"/>
      <w:r>
        <w:drawing>
          <wp:inline>
            <wp:extent cx="2400300" cy="168146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681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bookmarkEnd w:id="27"/>
    <w:bookmarkStart w:id="31" w:name="Xc337272d6fd3fe1152fd28f993b276bb9cea93c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Аппаратная фаза (современный подход: UEFI и ESP)</w:t>
      </w:r>
    </w:p>
    <w:p>
      <w:pPr>
        <w:pStyle w:val="FirstParagraph"/>
      </w:pPr>
      <w:r>
        <w:t xml:space="preserve">Здесь на сцену выходит более современный и безопасный подход UEFI. Вместо поиска MBR, он использует специальный раздел на диске, называемый ESP (EFI System Partition). Этот раздел содержит файлы загрузчиков в собственном формате, что делает процесс более надежным и быстрым.</w:t>
      </w:r>
    </w:p>
    <w:p>
      <w:pPr>
        <w:pStyle w:val="BodyText"/>
      </w:pPr>
      <w:r>
        <w:drawing>
          <wp:inline>
            <wp:extent cx="5334000" cy="312539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./image/2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5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программная-фаза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Программная фаза</w:t>
      </w:r>
    </w:p>
    <w:p>
      <w:pPr>
        <w:pStyle w:val="FirstParagraph"/>
      </w:pPr>
      <w:r>
        <w:t xml:space="preserve">• Роль диспетчера загрузки Windows</w:t>
      </w:r>
      <w:r>
        <w:t xml:space="preserve"> </w:t>
      </w:r>
      <w:r>
        <w:t xml:space="preserve">Независимо от того, был ли использован MBR или UEFI, следующим шагом управление переходит к менеджеру загрузки Windows – файлу Boot Manager.</w:t>
      </w:r>
    </w:p>
    <w:p>
      <w:pPr>
        <w:pStyle w:val="BodyText"/>
      </w:pPr>
      <w:r>
        <w:t xml:space="preserve">• Загрузка основного загрузчика и ядра системы</w:t>
      </w:r>
      <w:r>
        <w:t xml:space="preserve"> </w:t>
      </w:r>
      <w:r>
        <w:t xml:space="preserve">Выбрав нужную систему, Boot Manager загружает в память основной загрузчик – файл winload.exe (Windows OS Loader), который уже находится на системном разделе.</w:t>
      </w:r>
    </w:p>
    <w:p>
      <w:pPr>
        <w:pStyle w:val="BodyText"/>
      </w:pPr>
      <w:r>
        <w:t xml:space="preserve">• Критически важные действия загрузчика</w:t>
      </w:r>
      <w:r>
        <w:t xml:space="preserve"> </w:t>
      </w:r>
      <w:r>
        <w:t xml:space="preserve">Загрузчик winload.exe выполняет ряд критически важных действий. Он загружает в память ядро операционной системы – ntoskrnl.exe, а также основные драйверы устройств, без которых работа системы невозможна.</w:t>
      </w:r>
    </w:p>
    <w:bookmarkEnd w:id="32"/>
    <w:bookmarkStart w:id="46" w:name="Xefc6a966a7bfdc490005d2c59cbeefab7ce14c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Финальный этап: инициализация системы и вход пользователя</w:t>
      </w:r>
    </w:p>
    <w:p>
      <w:pPr>
        <w:pStyle w:val="FirstParagraph"/>
      </w:pPr>
      <w:r>
        <w:t xml:space="preserve">Финальный этап — это полная инициализация ядра, запуск служб и процессов входа, которые в конечном итоге загружают пользовательский интерфейс и приложения автозагрузки, делая систему полностью готовой к работе.</w:t>
      </w:r>
    </w:p>
    <w:p>
      <w:pPr>
        <w:pStyle w:val="BodyText"/>
      </w:pPr>
      <w:r>
        <w:drawing>
          <wp:inline>
            <wp:extent cx="3492500" cy="23241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./image/3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0" w:name="Xc5dd1032c444fa0f2709195e7e598cc8115404d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Запуск ядра и диспетчера устройств и роль диспетчера сеансов (smss.exe)</w:t>
      </w:r>
    </w:p>
    <w:p>
      <w:pPr>
        <w:pStyle w:val="FirstParagraph"/>
      </w:pPr>
      <w:r>
        <w:t xml:space="preserve">После загрузки ядра управление передается ему. Ядро инициализирует все системные компоненты, запускает диспетчер Plug and Play для обнаружения и настройки всего оборудования, а затем стартует сеанс подсистемы Windows. Дальше запускается процесс smss.exe (Session Manager). Это первый процесс, созданный системой, и он играет ключевую роль.</w:t>
      </w:r>
    </w:p>
    <w:p>
      <w:pPr>
        <w:pStyle w:val="BodyText"/>
      </w:pPr>
      <w:bookmarkStart w:id="39" w:name="fig:004"/>
      <w:r>
        <w:drawing>
          <wp:inline>
            <wp:extent cx="2400300" cy="1490712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./image/4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490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bookmarkEnd w:id="40"/>
    <w:bookmarkStart w:id="41" w:name="Xf8227388aa0baa16de93066b05bad26b8fe2e2d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Роль диспетчера сеансов (smss.exe) и процесс входа в систему</w:t>
      </w:r>
    </w:p>
    <w:p>
      <w:pPr>
        <w:pStyle w:val="FirstParagraph"/>
      </w:pPr>
      <w:r>
        <w:t xml:space="preserve">Запускается процесс smss.exe (Session Manager). Это первый процесс, созданный системой, и он играет ключевую роль.</w:t>
      </w:r>
    </w:p>
    <w:p>
      <w:pPr>
        <w:pStyle w:val="BodyText"/>
      </w:pPr>
      <w:r>
        <w:t xml:space="preserve">Именно winlogon.exe отвечает за процедуру входа пользователя в систему. Он выводит на экран знакомый нам интерфейс входа – приветственный экран.</w:t>
      </w:r>
    </w:p>
    <w:bookmarkEnd w:id="41"/>
    <w:bookmarkStart w:id="45" w:name="X50c2256f67bd6f82f6ad74b6351e072f0acc8a0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Завершение загрузки: появление рабочего стола</w:t>
      </w:r>
    </w:p>
    <w:p>
      <w:pPr>
        <w:pStyle w:val="FirstParagraph"/>
      </w:pPr>
      <w:r>
        <w:t xml:space="preserve">После успешной проверки подлинности winlogon загружает профиль пользователя и запускает оболочку операционной системы – проводник explorer.exe. Одновременно с этим фоновой планировщик задач services.exe запускает все автоматические системные службы и приложения из автозагрузки. И вот, перед нами появляется рабочий стол – операционная система полностью загружена и готова к работе</w:t>
      </w:r>
    </w:p>
    <w:p>
      <w:pPr>
        <w:pStyle w:val="CaptionedFigure"/>
      </w:pPr>
      <w:r>
        <w:drawing>
          <wp:inline>
            <wp:extent cx="2400300" cy="1495961"/>
            <wp:effectExtent b="0" l="0" r="0" t="0"/>
            <wp:docPr descr="Рабочий экран" title="" id="43" name="Picture"/>
            <a:graphic>
              <a:graphicData uri="http://schemas.openxmlformats.org/drawingml/2006/picture">
                <pic:pic>
                  <pic:nvPicPr>
                    <pic:cNvPr descr="./image/5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495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Рабочий экран</w:t>
      </w:r>
    </w:p>
    <w:bookmarkEnd w:id="45"/>
    <w:bookmarkEnd w:id="46"/>
    <w:bookmarkStart w:id="47" w:name="заключение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Таким образом, загрузка Windows - Это не мгновенное чудо,а сложный и многоуровневый механизм. Он предствляет собой четкую эстафету , где управление последовательно передается от микропрограмм материнской плате к простым загрузчикам , а от них уже к мощному ядру операционной системы и,наконец к пользовательской оболочке. Каждый этап критически важен, и сбой на любом из них может привести к невозможности запуска системы. Понимание этих этапов позволяет не только глубже познать архитектуру ОС, но и грамотно подходить к решению возможных проблем с загрузкой.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42" Target="media/rId42.jpg" /><Relationship Type="http://schemas.openxmlformats.org/officeDocument/2006/relationships/image" Id="rId23" Target="media/rId2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Загрузка Windows</dc:title>
  <dc:creator>Зубов И.А.</dc:creator>
  <dc:language>ru-RU</dc:language>
  <cp:keywords/>
  <dcterms:created xsi:type="dcterms:W3CDTF">2025-11-07T12:04:18Z</dcterms:created>
  <dcterms:modified xsi:type="dcterms:W3CDTF">2025-11-07T12:04:18Z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autoEqnLabels">
    <vt:lpwstr>False</vt:lpwstr>
  </property>
  <property fmtid="{D5CDD505-2E9C-101B-9397-08002B2CF9AE}" pid="4" name="autoSectionLabels">
    <vt:lpwstr>False</vt:lpwstr>
  </property>
  <property fmtid="{D5CDD505-2E9C-101B-9397-08002B2CF9AE}" pid="5" name="babel-lang">
    <vt:lpwstr>russian</vt:lpwstr>
  </property>
  <property fmtid="{D5CDD505-2E9C-101B-9397-08002B2CF9AE}" pid="6" name="babel-otherlangs">
    <vt:lpwstr>english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date">
    <vt:lpwstr>07 ноября 2025</vt:lpwstr>
  </property>
  <property fmtid="{D5CDD505-2E9C-101B-9397-08002B2CF9AE}" pid="17" name="eqLabels">
    <vt:lpwstr>arabic</vt:lpwstr>
  </property>
  <property fmtid="{D5CDD505-2E9C-101B-9397-08002B2CF9AE}" pid="18" name="eqnBlockInlineMath">
    <vt:lpwstr>False</vt:lpwstr>
  </property>
  <property fmtid="{D5CDD505-2E9C-101B-9397-08002B2CF9AE}" pid="19" name="eqnBlockTemplate">
    <vt:lpwstr>ti</vt:lpwstr>
  </property>
  <property fmtid="{D5CDD505-2E9C-101B-9397-08002B2CF9AE}" pid="20" name="eqnIndexTemplate">
    <vt:lpwstr>(i)</vt:lpwstr>
  </property>
  <property fmtid="{D5CDD505-2E9C-101B-9397-08002B2CF9AE}" pid="21" name="eqnInlineTemplate">
    <vt:lpwstr>eequationNumberTeX{i}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\qquad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Figure</vt:lpwstr>
  </property>
  <property fmtid="{D5CDD505-2E9C-101B-9397-08002B2CF9AE}" pid="30" name="header-includes">
    <vt:lpwstr/>
  </property>
  <property fmtid="{D5CDD505-2E9C-101B-9397-08002B2CF9AE}" pid="31" name="institute">
    <vt:lpwstr/>
  </property>
  <property fmtid="{D5CDD505-2E9C-101B-9397-08002B2CF9AE}" pid="32" name="lastDelim">
    <vt:lpwstr>, </vt:lpwstr>
  </property>
  <property fmtid="{D5CDD505-2E9C-101B-9397-08002B2CF9AE}" pid="33" name="linkReferences">
    <vt:lpwstr>False</vt:lpwstr>
  </property>
  <property fmtid="{D5CDD505-2E9C-101B-9397-08002B2CF9AE}" pid="34" name="listItemTitleDelim">
    <vt:lpwstr>.</vt:lpwstr>
  </property>
  <property fmtid="{D5CDD505-2E9C-101B-9397-08002B2CF9AE}" pid="35" name="listingTemplate">
    <vt:lpwstr>listingTitle ititleDelim t</vt:lpwstr>
  </property>
  <property fmtid="{D5CDD505-2E9C-101B-9397-08002B2CF9AE}" pid="36" name="listingTitle">
    <vt:lpwstr>Listing</vt:lpwstr>
  </property>
  <property fmtid="{D5CDD505-2E9C-101B-9397-08002B2CF9AE}" pid="37" name="listings">
    <vt:lpwstr>False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 of Figures</vt:lpwstr>
  </property>
  <property fmtid="{D5CDD505-2E9C-101B-9397-08002B2CF9AE}" pid="41" name="lolItemTemplate">
    <vt:lpwstr>lolItemTitleilistItemTitleDelimt </vt:lpwstr>
  </property>
  <property fmtid="{D5CDD505-2E9C-101B-9397-08002B2CF9AE}" pid="42" name="lolItemTitle">
    <vt:lpwstr/>
  </property>
  <property fmtid="{D5CDD505-2E9C-101B-9397-08002B2CF9AE}" pid="43" name="lolTitle">
    <vt:lpwstr>List of Listings</vt:lpwstr>
  </property>
  <property fmtid="{D5CDD505-2E9C-101B-9397-08002B2CF9AE}" pid="44" name="lotItemTemplate">
    <vt:lpwstr>lotItemTitleilistItemTitleDelimt </vt:lpwstr>
  </property>
  <property fmtid="{D5CDD505-2E9C-101B-9397-08002B2CF9AE}" pid="45" name="lotItemTitle">
    <vt:lpwstr/>
  </property>
  <property fmtid="{D5CDD505-2E9C-101B-9397-08002B2CF9AE}" pid="46" name="lotTitle">
    <vt:lpwstr>List of Tables</vt:lpwstr>
  </property>
  <property fmtid="{D5CDD505-2E9C-101B-9397-08002B2CF9AE}" pid="47" name="lstLabels">
    <vt:lpwstr>arabic</vt:lpwstr>
  </property>
  <property fmtid="{D5CDD505-2E9C-101B-9397-08002B2CF9AE}" pid="48" name="lstPrefix">
    <vt:lpwstr/>
  </property>
  <property fmtid="{D5CDD505-2E9C-101B-9397-08002B2CF9AE}" pid="49" name="lstPrefixTemplate">
    <vt:lpwstr>p i</vt:lpwstr>
  </property>
  <property fmtid="{D5CDD505-2E9C-101B-9397-08002B2CF9AE}" pid="50" name="nameInLink">
    <vt:lpwstr>False</vt:lpwstr>
  </property>
  <property fmtid="{D5CDD505-2E9C-101B-9397-08002B2CF9AE}" pid="51" name="numberSections">
    <vt:lpwstr>False</vt:lpwstr>
  </property>
  <property fmtid="{D5CDD505-2E9C-101B-9397-08002B2CF9AE}" pid="52" name="pairDelim">
    <vt:lpwstr>, </vt:lpwstr>
  </property>
  <property fmtid="{D5CDD505-2E9C-101B-9397-08002B2CF9AE}" pid="53" name="rangeDelim">
    <vt:lpwstr>-</vt:lpwstr>
  </property>
  <property fmtid="{D5CDD505-2E9C-101B-9397-08002B2CF9AE}" pid="54" name="refDelim">
    <vt:lpwstr>, </vt:lpwstr>
  </property>
  <property fmtid="{D5CDD505-2E9C-101B-9397-08002B2CF9AE}" pid="55" name="refIndexTemplate">
    <vt:lpwstr>isuf</vt:lpwstr>
  </property>
  <property fmtid="{D5CDD505-2E9C-101B-9397-08002B2CF9AE}" pid="56" name="secHeaderDelim">
    <vt:lpwstr> </vt:lpwstr>
  </property>
  <property fmtid="{D5CDD505-2E9C-101B-9397-08002B2CF9AE}" pid="57" name="secHeaderTemplate">
    <vt:lpwstr>isecHeaderDelim[n]t</vt:lpwstr>
  </property>
  <property fmtid="{D5CDD505-2E9C-101B-9397-08002B2CF9AE}" pid="58" name="secLabels">
    <vt:lpwstr>arabic</vt:lpwstr>
  </property>
  <property fmtid="{D5CDD505-2E9C-101B-9397-08002B2CF9AE}" pid="59" name="secPrefix">
    <vt:lpwstr/>
  </property>
  <property fmtid="{D5CDD505-2E9C-101B-9397-08002B2CF9AE}" pid="60" name="secPrefixTemplate">
    <vt:lpwstr>p i</vt:lpwstr>
  </property>
  <property fmtid="{D5CDD505-2E9C-101B-9397-08002B2CF9AE}" pid="61" name="section-titles">
    <vt:lpwstr>True</vt:lpwstr>
  </property>
  <property fmtid="{D5CDD505-2E9C-101B-9397-08002B2CF9AE}" pid="62" name="sectionsDepth">
    <vt:lpwstr>0</vt:lpwstr>
  </property>
  <property fmtid="{D5CDD505-2E9C-101B-9397-08002B2CF9AE}" pid="63" name="slide_level">
    <vt:lpwstr>2</vt:lpwstr>
  </property>
  <property fmtid="{D5CDD505-2E9C-101B-9397-08002B2CF9AE}" pid="64" name="subfigGrid">
    <vt:lpwstr>False</vt:lpwstr>
  </property>
  <property fmtid="{D5CDD505-2E9C-101B-9397-08002B2CF9AE}" pid="65" name="subfigLabels">
    <vt:lpwstr>alpha a</vt:lpwstr>
  </property>
  <property fmtid="{D5CDD505-2E9C-101B-9397-08002B2CF9AE}" pid="66" name="subfigureChildTemplate">
    <vt:lpwstr>i</vt:lpwstr>
  </property>
  <property fmtid="{D5CDD505-2E9C-101B-9397-08002B2CF9AE}" pid="67" name="subfigureRefIndexTemplate">
    <vt:lpwstr>isuf (s)</vt:lpwstr>
  </property>
  <property fmtid="{D5CDD505-2E9C-101B-9397-08002B2CF9AE}" pid="68" name="subfigureTemplate">
    <vt:lpwstr>figureTitle ititleDelim t. ccs</vt:lpwstr>
  </property>
  <property fmtid="{D5CDD505-2E9C-101B-9397-08002B2CF9AE}" pid="69" name="subtitle">
    <vt:lpwstr>Презентация</vt:lpwstr>
  </property>
  <property fmtid="{D5CDD505-2E9C-101B-9397-08002B2CF9AE}" pid="70" name="tableEqns">
    <vt:lpwstr>False</vt:lpwstr>
  </property>
  <property fmtid="{D5CDD505-2E9C-101B-9397-08002B2CF9AE}" pid="71" name="tableTemplate">
    <vt:lpwstr>tableTitle ititleDelim t</vt:lpwstr>
  </property>
  <property fmtid="{D5CDD505-2E9C-101B-9397-08002B2CF9AE}" pid="72" name="tableTitle">
    <vt:lpwstr>Table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heme">
    <vt:lpwstr>metropolis</vt:lpwstr>
  </property>
  <property fmtid="{D5CDD505-2E9C-101B-9397-08002B2CF9AE}" pid="77" name="titleDelim">
    <vt:lpwstr>:</vt:lpwstr>
  </property>
  <property fmtid="{D5CDD505-2E9C-101B-9397-08002B2CF9AE}" pid="78" name="toc">
    <vt:lpwstr>False</vt:lpwstr>
  </property>
  <property fmtid="{D5CDD505-2E9C-101B-9397-08002B2CF9AE}" pid="79" name="toc-title">
    <vt:lpwstr>Содержание</vt:lpwstr>
  </property>
</Properties>
</file>