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Système de recommandation de pass — Orange Guinée</w:t>
      </w:r>
    </w:p>
    <w:p>
      <w:pPr>
        <w:pStyle w:val="Subtitle"/>
      </w:pPr>
      <w:r>
        <w:t xml:space="preserve">Rapport d’audit : fuite de données et dépendance à la popularité</w:t>
      </w:r>
    </w:p>
    <w:p>
      <w:pPr>
        <w:pStyle w:val="Date"/>
      </w:pPr>
      <w:r>
        <w:t xml:space="preserve">30 août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contexte-et-déclencheur"/>
    <w:p>
      <w:pPr>
        <w:pStyle w:val="Heading1"/>
      </w:pPr>
      <w:r>
        <w:t xml:space="preserve">1. Contexte et déclencheur</w:t>
      </w:r>
    </w:p>
    <w:p>
      <w:pPr>
        <w:pStyle w:val="FirstParagraph"/>
      </w:pPr>
      <w:r>
        <w:t xml:space="preserve">Les métriques obtenues (Precision@1 = 0,970 pour le ranker, AUC = 0,960</w:t>
      </w:r>
      <w:r>
        <w:t xml:space="preserve"> </w:t>
      </w:r>
      <w:r>
        <w:t xml:space="preserve">pour le classifieur calibré) sont sensiblement au-dessus des repères</w:t>
      </w:r>
      <w:r>
        <w:t xml:space="preserve"> </w:t>
      </w:r>
      <w:r>
        <w:t xml:space="preserve">usuels pour ce type de tâche de recommandation (repères réalistes</w:t>
      </w:r>
      <w:r>
        <w:t xml:space="preserve"> </w:t>
      </w:r>
      <w:r>
        <w:t xml:space="preserve">généralement cités : 0,80-0,85 d’AUC, 35-45 % de Precision@1). Un chiffre</w:t>
      </w:r>
      <w:r>
        <w:t xml:space="preserve"> </w:t>
      </w:r>
      <w:r>
        <w:t xml:space="preserve">inhabituellement élevé n’est pas en soi une preuve d’erreur, mais impose</w:t>
      </w:r>
      <w:r>
        <w:t xml:space="preserve"> </w:t>
      </w:r>
      <w:r>
        <w:t xml:space="preserve">une vérification explicite avant d’être considéré comme fiable — c’est</w:t>
      </w:r>
      <w:r>
        <w:t xml:space="preserve"> </w:t>
      </w:r>
      <w:r>
        <w:t xml:space="preserve">l’objet de cet audit.</w:t>
      </w:r>
    </w:p>
    <w:p>
      <w:pPr>
        <w:pStyle w:val="BodyText"/>
      </w:pPr>
      <w:r>
        <w:t xml:space="preserve">L’audit a porté sur le pipeline réellement exécuté (code d’entraînement,</w:t>
      </w:r>
      <w:r>
        <w:t xml:space="preserve"> </w:t>
      </w:r>
      <w:r>
        <w:t xml:space="preserve">schéma effectif des données livrées), et non uniquement sur la</w:t>
      </w:r>
      <w:r>
        <w:t xml:space="preserve"> </w:t>
      </w:r>
      <w:r>
        <w:t xml:space="preserve">documentation produite en amont.</w:t>
      </w:r>
    </w:p>
    <w:bookmarkEnd w:id="9"/>
    <w:bookmarkStart w:id="10" w:name="X0ec769c0df88e4a640da65a0b8544ac14da8979"/>
    <w:p>
      <w:pPr>
        <w:pStyle w:val="Heading1"/>
      </w:pPr>
      <w:r>
        <w:t xml:space="preserve">2. Vérification de fuite de données explicite</w:t>
      </w:r>
    </w:p>
    <w:p>
      <w:pPr>
        <w:pStyle w:val="FirstParagraph"/>
      </w:pPr>
      <w:r>
        <w:t xml:space="preserve">Le fichier</w:t>
      </w:r>
      <w:r>
        <w:t xml:space="preserve"> </w:t>
      </w:r>
      <w:r>
        <w:rPr>
          <w:rStyle w:val="VerbatimChar"/>
        </w:rPr>
        <w:t xml:space="preserve">LEAKAGE_COLUMNS_a_exclure.txt</w:t>
      </w:r>
      <w:r>
        <w:t xml:space="preserve"> </w:t>
      </w:r>
      <w:r>
        <w:t xml:space="preserve">livré avec le jeu de données</w:t>
      </w:r>
      <w:r>
        <w:t xml:space="preserve"> </w:t>
      </w:r>
      <w:r>
        <w:t xml:space="preserve">identifie cinq colonnes à proscrire comme features (</w:t>
      </w:r>
      <w:r>
        <w:rPr>
          <w:rStyle w:val="VerbatimChar"/>
        </w:rPr>
        <w:t xml:space="preserve">mnt_pass_total</w:t>
      </w:r>
      <w:r>
        <w:t xml:space="preserve">,</w:t>
      </w:r>
      <w:r>
        <w:t xml:space="preserve"> </w:t>
      </w:r>
      <w:r>
        <w:rPr>
          <w:rStyle w:val="VerbatimChar"/>
        </w:rPr>
        <w:t xml:space="preserve">nb_pass_total</w:t>
      </w:r>
      <w:r>
        <w:t xml:space="preserve">,</w:t>
      </w:r>
      <w:r>
        <w:t xml:space="preserve"> </w:t>
      </w:r>
      <w:r>
        <w:rPr>
          <w:rStyle w:val="VerbatimChar"/>
        </w:rPr>
        <w:t xml:space="preserve">nb_pass_distincts</w:t>
      </w:r>
      <w:r>
        <w:t xml:space="preserve">,</w:t>
      </w:r>
      <w:r>
        <w:t xml:space="preserve"> </w:t>
      </w:r>
      <w:r>
        <w:rPr>
          <w:rStyle w:val="VerbatimChar"/>
        </w:rPr>
        <w:t xml:space="preserve">nb_sources_distinctes</w:t>
      </w:r>
      <w:r>
        <w:t xml:space="preserve">,</w:t>
      </w:r>
      <w:r>
        <w:t xml:space="preserve"> </w:t>
      </w:r>
      <w:r>
        <w:rPr>
          <w:rStyle w:val="VerbatimChar"/>
        </w:rPr>
        <w:t xml:space="preserve">nb_canaux_achat_distincts</w:t>
      </w:r>
      <w:r>
        <w:t xml:space="preserve">), car dérivées du même historique d’achats que</w:t>
      </w:r>
      <w:r>
        <w:t xml:space="preserve"> </w:t>
      </w:r>
      <w:r>
        <w:t xml:space="preserve">la cible à prédire.</w:t>
      </w:r>
    </w:p>
    <w:p>
      <w:pPr>
        <w:pStyle w:val="BodyText"/>
      </w:pPr>
      <w:r>
        <w:rPr>
          <w:b/>
          <w:bCs/>
        </w:rPr>
        <w:t xml:space="preserve">Vérification effectuée</w:t>
      </w:r>
      <w:r>
        <w:t xml:space="preserve"> </w:t>
      </w:r>
      <w:r>
        <w:t xml:space="preserve">: inspection du schéma réel du fichier</w:t>
      </w:r>
      <w:r>
        <w:t xml:space="preserve"> </w:t>
      </w:r>
      <w:r>
        <w:rPr>
          <w:rStyle w:val="VerbatimChar"/>
        </w:rPr>
        <w:t xml:space="preserve">training_ranking.parquet</w:t>
      </w:r>
      <w:r>
        <w:t xml:space="preserve"> </w:t>
      </w:r>
      <w:r>
        <w:t xml:space="preserve">(45 colonnes) et de la fonction</w:t>
      </w:r>
      <w:r>
        <w:t xml:space="preserve"> </w:t>
      </w:r>
      <w:r>
        <w:rPr>
          <w:rStyle w:val="VerbatimChar"/>
        </w:rPr>
        <w:t xml:space="preserve">feature_columns()</w:t>
      </w:r>
      <w:r>
        <w:t xml:space="preserve"> </w:t>
      </w:r>
      <w:r>
        <w:t xml:space="preserve">du code d’entraînement partagé</w:t>
      </w:r>
      <w:r>
        <w:t xml:space="preserve"> </w:t>
      </w:r>
      <w:r>
        <w:t xml:space="preserve">(</w:t>
      </w:r>
      <w:r>
        <w:rPr>
          <w:rStyle w:val="VerbatimChar"/>
        </w:rPr>
        <w:t xml:space="preserve">scripts/common.py</w:t>
      </w:r>
      <w:r>
        <w:t xml:space="preserve">), utilisée par les deux scripts d’entraînement</w:t>
      </w:r>
      <w:r>
        <w:t xml:space="preserve"> </w:t>
      </w:r>
      <w:r>
        <w:t xml:space="preserve">(Modèle A et Modèle B).</w:t>
      </w:r>
    </w:p>
    <w:p>
      <w:pPr>
        <w:pStyle w:val="BodyText"/>
      </w:pPr>
      <w:r>
        <w:rPr>
          <w:b/>
          <w:bCs/>
        </w:rPr>
        <w:t xml:space="preserve">Résultat</w:t>
      </w:r>
      <w:r>
        <w:t xml:space="preserve"> </w:t>
      </w:r>
      <w:r>
        <w:t xml:space="preserve">: les cinq colonnes interdites sont</w:t>
      </w:r>
      <w:r>
        <w:t xml:space="preserve"> </w:t>
      </w:r>
      <w:r>
        <w:rPr>
          <w:b/>
          <w:bCs/>
        </w:rPr>
        <w:t xml:space="preserve">absentes du fichier</w:t>
      </w:r>
      <w:r>
        <w:rPr>
          <w:b/>
          <w:bCs/>
        </w:rPr>
        <w:t xml:space="preserve"> </w:t>
      </w:r>
      <w:r>
        <w:rPr>
          <w:b/>
          <w:bCs/>
        </w:rPr>
        <w:t xml:space="preserve">livré lui-même</w:t>
      </w:r>
      <w:r>
        <w:t xml:space="preserve"> </w:t>
      </w:r>
      <w:r>
        <w:t xml:space="preserve">— elles ont été exclues en amont de la livraison, donc</w:t>
      </w:r>
      <w:r>
        <w:t xml:space="preserve"> </w:t>
      </w:r>
      <w:r>
        <w:t xml:space="preserve">structurellement impossibles à utiliser. La fonction</w:t>
      </w:r>
      <w:r>
        <w:t xml:space="preserve"> </w:t>
      </w:r>
      <w:r>
        <w:rPr>
          <w:rStyle w:val="VerbatimChar"/>
        </w:rPr>
        <w:t xml:space="preserve">feature_columns()</w:t>
      </w:r>
      <w:r>
        <w:t xml:space="preserve"> </w:t>
      </w:r>
      <w:r>
        <w:t xml:space="preserve">n’exclut par ailleurs que quatre colonnes non prédictives (</w:t>
      </w:r>
      <w:r>
        <w:rPr>
          <w:rStyle w:val="VerbatimChar"/>
        </w:rPr>
        <w:t xml:space="preserve">num</w:t>
      </w:r>
      <w:r>
        <w:t xml:space="preserve">,</w:t>
      </w:r>
      <w:r>
        <w:t xml:space="preserve"> </w:t>
      </w:r>
      <w:r>
        <w:rPr>
          <w:rStyle w:val="VerbatimChar"/>
        </w:rPr>
        <w:t xml:space="preserve">nom_pass_regroupe</w:t>
      </w:r>
      <w:r>
        <w:t xml:space="preserve">,</w:t>
      </w:r>
      <w:r>
        <w:t xml:space="preserve"> </w:t>
      </w:r>
      <w:r>
        <w:rPr>
          <w:rStyle w:val="VerbatimChar"/>
        </w:rPr>
        <w:t xml:space="preserve">label</w:t>
      </w:r>
      <w:r>
        <w:t xml:space="preserve">,</w:t>
      </w:r>
      <w:r>
        <w:t xml:space="preserve"> </w:t>
      </w:r>
      <w:r>
        <w:rPr>
          <w:rStyle w:val="VerbatimChar"/>
        </w:rPr>
        <w:t xml:space="preserve">flag_date_incoherente</w:t>
      </w:r>
      <w:r>
        <w:t xml:space="preserve">) ; toutes les autres</w:t>
      </w:r>
      <w:r>
        <w:t xml:space="preserve"> </w:t>
      </w:r>
      <w:r>
        <w:t xml:space="preserve">colonnes du dataset deviennent des features, sans filtrage supplémentaire</w:t>
      </w:r>
      <w:r>
        <w:t xml:space="preserve"> </w:t>
      </w:r>
      <w:r>
        <w:t xml:space="preserve">susceptible de masquer un oubli.</w:t>
      </w:r>
    </w:p>
    <w:p>
      <w:pPr>
        <w:pStyle w:val="BodyText"/>
      </w:pPr>
      <w:r>
        <w:rPr>
          <w:b/>
          <w:bCs/>
        </w:rPr>
        <w:t xml:space="preserve">Conclusion</w:t>
      </w:r>
      <w:r>
        <w:t xml:space="preserve"> </w:t>
      </w:r>
      <w:r>
        <w:t xml:space="preserve">: aucune fuite de données explicite identifiée.</w:t>
      </w:r>
    </w:p>
    <w:bookmarkEnd w:id="10"/>
    <w:bookmarkStart w:id="11" w:name="X6326d8acfa3e938f65a280e8a718a91a293cc50"/>
    <w:p>
      <w:pPr>
        <w:pStyle w:val="Heading1"/>
      </w:pPr>
      <w:r>
        <w:t xml:space="preserve">3. Feature importance du Modèle B (analyse inédite)</w:t>
      </w:r>
    </w:p>
    <w:p>
      <w:pPr>
        <w:pStyle w:val="FirstParagraph"/>
      </w:pPr>
      <w:r>
        <w:t xml:space="preserve">La feature importance du Modèle A avait été calculée et documentée dès</w:t>
      </w:r>
      <w:r>
        <w:t xml:space="preserve"> </w:t>
      </w:r>
      <w:r>
        <w:t xml:space="preserve">son entraînement. Celle du</w:t>
      </w:r>
      <w:r>
        <w:t xml:space="preserve"> </w:t>
      </w:r>
      <w:r>
        <w:rPr>
          <w:b/>
          <w:bCs/>
        </w:rPr>
        <w:t xml:space="preserve">Modèle B n’avait en revanche jamais été</w:t>
      </w:r>
      <w:r>
        <w:rPr>
          <w:b/>
          <w:bCs/>
        </w:rPr>
        <w:t xml:space="preserve"> </w:t>
      </w:r>
      <w:r>
        <w:rPr>
          <w:b/>
          <w:bCs/>
        </w:rPr>
        <w:t xml:space="preserve">calculée</w:t>
      </w:r>
      <w:r>
        <w:t xml:space="preserve"> </w:t>
      </w:r>
      <w:r>
        <w:t xml:space="preserve">avant cet audit — un angle mort identifié et corrigé.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Modèle A (% du gain)</w:t>
            </w:r>
          </w:p>
        </w:tc>
        <w:tc>
          <w:tcPr/>
          <w:p>
            <w:pPr>
              <w:pStyle w:val="Compact"/>
            </w:pPr>
            <w:r>
              <w:t xml:space="preserve">Modèle B (% du gain)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popularite_n_clients</w:t>
            </w:r>
          </w:p>
        </w:tc>
        <w:tc>
          <w:tcPr/>
          <w:p>
            <w:pPr>
              <w:pStyle w:val="Compact"/>
            </w:pPr>
            <w:r>
              <w:t xml:space="preserve">53,8 %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60,2 %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n_pass_distincts_verif</w:t>
            </w:r>
          </w:p>
        </w:tc>
        <w:tc>
          <w:tcPr/>
          <w:p>
            <w:pPr>
              <w:pStyle w:val="Compact"/>
            </w:pPr>
            <w:r>
              <w:t xml:space="preserve">12,5 %</w:t>
            </w:r>
          </w:p>
        </w:tc>
        <w:tc>
          <w:tcPr/>
          <w:p>
            <w:pPr>
              <w:pStyle w:val="Compact"/>
            </w:pPr>
            <w:r>
              <w:t xml:space="preserve">15,2 %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type_ressource_prefere</w:t>
            </w:r>
          </w:p>
        </w:tc>
        <w:tc>
          <w:tcPr/>
          <w:p>
            <w:pPr>
              <w:pStyle w:val="Compact"/>
            </w:pPr>
            <w:r>
              <w:t xml:space="preserve">9,1 %</w:t>
            </w:r>
          </w:p>
        </w:tc>
        <w:tc>
          <w:tcPr/>
          <w:p>
            <w:pPr>
              <w:pStyle w:val="Compact"/>
            </w:pPr>
            <w:r>
              <w:t xml:space="preserve">6,1 %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Cumul des 3 premières features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75,4 %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81,6 %</w:t>
            </w:r>
          </w:p>
        </w:tc>
      </w:tr>
    </w:tbl>
    <w:p>
      <w:pPr>
        <w:pStyle w:val="BodyText"/>
      </w:pPr>
      <w:r>
        <w:t xml:space="preserve">Les deux modèles présentent une structure de dépendance très similaire,</w:t>
      </w:r>
      <w:r>
        <w:t xml:space="preserve"> </w:t>
      </w:r>
      <w:r>
        <w:t xml:space="preserve">concentrée sur trois variables. Deux d’entre elles ne relèvent pas d’une</w:t>
      </w:r>
      <w:r>
        <w:t xml:space="preserve"> </w:t>
      </w:r>
      <w:r>
        <w:t xml:space="preserve">personnalisation fine :</w:t>
      </w:r>
      <w:r>
        <w:t xml:space="preserve"> </w:t>
      </w:r>
      <w:r>
        <w:rPr>
          <w:rStyle w:val="VerbatimChar"/>
        </w:rPr>
        <w:t xml:space="preserve">popularite_n_clients</w:t>
      </w:r>
      <w:r>
        <w:t xml:space="preserve"> </w:t>
      </w:r>
      <w:r>
        <w:t xml:space="preserve">décrit la popularité du</w:t>
      </w:r>
      <w:r>
        <w:t xml:space="preserve"> </w:t>
      </w:r>
      <w:r>
        <w:t xml:space="preserve">pass indépendamment du client, et</w:t>
      </w:r>
      <w:r>
        <w:t xml:space="preserve"> </w:t>
      </w:r>
      <w:r>
        <w:rPr>
          <w:rStyle w:val="VerbatimChar"/>
        </w:rPr>
        <w:t xml:space="preserve">n_pass_distincts_verif</w:t>
      </w:r>
      <w:r>
        <w:t xml:space="preserve"> </w:t>
      </w:r>
      <w:r>
        <w:t xml:space="preserve">décrit le</w:t>
      </w:r>
      <w:r>
        <w:t xml:space="preserve"> </w:t>
      </w:r>
      <w:r>
        <w:t xml:space="preserve">niveau d’activité générale du client (nombre de pass déjà achetés), pas</w:t>
      </w:r>
      <w:r>
        <w:t xml:space="preserve"> </w:t>
      </w:r>
      <w:r>
        <w:t xml:space="preserve">son affinité avec un pass précis.</w:t>
      </w:r>
    </w:p>
    <w:bookmarkEnd w:id="11"/>
    <w:bookmarkStart w:id="12" w:name="X927c8c313df42a3b7f60ee0a761a9616161096b"/>
    <w:p>
      <w:pPr>
        <w:pStyle w:val="Heading1"/>
      </w:pPr>
      <w:r>
        <w:t xml:space="preserve">4. Piste de quasi-fuite : correspondance de type de ressource</w:t>
      </w:r>
    </w:p>
    <w:p>
      <w:pPr>
        <w:pStyle w:val="FirstParagraph"/>
      </w:pPr>
      <w:r>
        <w:t xml:space="preserve">Hypothèse testée : la variable</w:t>
      </w:r>
      <w:r>
        <w:t xml:space="preserve"> </w:t>
      </w:r>
      <w:r>
        <w:rPr>
          <w:rStyle w:val="VerbatimChar"/>
        </w:rPr>
        <w:t xml:space="preserve">type_ressource_prefere</w:t>
      </w:r>
      <w:r>
        <w:t xml:space="preserve"> </w:t>
      </w:r>
      <w:r>
        <w:t xml:space="preserve">(côté client) et</w:t>
      </w:r>
      <w:r>
        <w:t xml:space="preserve"> </w:t>
      </w:r>
      <w:r>
        <w:rPr>
          <w:rStyle w:val="VerbatimChar"/>
        </w:rPr>
        <w:t xml:space="preserve">type_ressource</w:t>
      </w:r>
      <w:r>
        <w:t xml:space="preserve"> </w:t>
      </w:r>
      <w:r>
        <w:t xml:space="preserve">(côté pass candidat) pourraient produire une règle</w:t>
      </w:r>
      <w:r>
        <w:t xml:space="preserve"> </w:t>
      </w:r>
      <w:r>
        <w:t xml:space="preserve">quasi-triviale lorsqu’elles coïncident.</w:t>
      </w:r>
    </w:p>
    <w:p>
      <w:pPr>
        <w:pStyle w:val="BodyText"/>
      </w:pPr>
      <w:r>
        <w:rPr>
          <w:b/>
          <w:bCs/>
        </w:rPr>
        <w:t xml:space="preserve">Mesure effectuée</w:t>
      </w:r>
      <w:r>
        <w:t xml:space="preserve"> </w:t>
      </w:r>
      <w:r>
        <w:t xml:space="preserve">: taux d’achat réel (</w:t>
      </w:r>
      <w:r>
        <w:rPr>
          <w:rStyle w:val="VerbatimChar"/>
        </w:rPr>
        <w:t xml:space="preserve">label = 1</w:t>
      </w:r>
      <w:r>
        <w:t xml:space="preserve">) sur l’ensemble du</w:t>
      </w:r>
      <w:r>
        <w:t xml:space="preserve"> </w:t>
      </w:r>
      <w:r>
        <w:t xml:space="preserve">dataset d’entraînement, selon la correspondance entre les deux variables.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Correspondance</w:t>
            </w:r>
            <w:r>
              <w:t xml:space="preserve"> </w:t>
            </w:r>
            <w:r>
              <w:rPr>
                <w:rStyle w:val="VerbatimChar"/>
              </w:rPr>
              <w:t xml:space="preserve">type_ressource_prefere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type_ressource</w:t>
            </w:r>
          </w:p>
        </w:tc>
        <w:tc>
          <w:tcPr/>
          <w:p>
            <w:pPr>
              <w:pStyle w:val="Compact"/>
            </w:pPr>
            <w:r>
              <w:t xml:space="preserve">Taux de positif</w:t>
            </w:r>
          </w:p>
        </w:tc>
        <w:tc>
          <w:tcPr/>
          <w:p>
            <w:pPr>
              <w:pStyle w:val="Compact"/>
            </w:pPr>
            <w:r>
              <w:t xml:space="preserve">Volume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Oui</w:t>
            </w:r>
          </w:p>
        </w:tc>
        <w:tc>
          <w:tcPr/>
          <w:p>
            <w:pPr>
              <w:pStyle w:val="Compact"/>
            </w:pPr>
            <w:r>
              <w:t xml:space="preserve">29,5 %</w:t>
            </w:r>
          </w:p>
        </w:tc>
        <w:tc>
          <w:tcPr/>
          <w:p>
            <w:pPr>
              <w:pStyle w:val="Compact"/>
            </w:pPr>
            <w:r>
              <w:t xml:space="preserve">23 299 719 lignes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Non</w:t>
            </w:r>
          </w:p>
        </w:tc>
        <w:tc>
          <w:tcPr/>
          <w:p>
            <w:pPr>
              <w:pStyle w:val="Compact"/>
            </w:pPr>
            <w:r>
              <w:t xml:space="preserve">21,9 %</w:t>
            </w:r>
          </w:p>
        </w:tc>
        <w:tc>
          <w:tcPr/>
          <w:p>
            <w:pPr>
              <w:pStyle w:val="Compact"/>
            </w:pPr>
            <w:r>
              <w:t xml:space="preserve">17 551 365 lignes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Conclusion</w:t>
      </w:r>
      <w:r>
        <w:t xml:space="preserve"> </w:t>
      </w:r>
      <w:r>
        <w:t xml:space="preserve">: l’effet est réel et statistiquement notable (+7,6 points,</w:t>
      </w:r>
      <w:r>
        <w:t xml:space="preserve"> </w:t>
      </w:r>
      <w:r>
        <w:t xml:space="preserve">soit environ +35 % en relatif), mais d’une ampleur modérée — il</w:t>
      </w:r>
      <w:r>
        <w:t xml:space="preserve"> </w:t>
      </w:r>
      <w:r>
        <w:t xml:space="preserve">n’explique pas, à lui seul, une precision de 97 %. L’hypothèse d’une</w:t>
      </w:r>
      <w:r>
        <w:t xml:space="preserve"> </w:t>
      </w:r>
      <w:r>
        <w:t xml:space="preserve">quasi-fuite dominante par cette seule variable est écartée.</w:t>
      </w:r>
    </w:p>
    <w:bookmarkEnd w:id="12"/>
    <w:bookmarkStart w:id="13" w:name="X9e40883fdee6dd3987f0457b648c4616c243d51"/>
    <w:p>
      <w:pPr>
        <w:pStyle w:val="Heading1"/>
      </w:pPr>
      <w:r>
        <w:t xml:space="preserve">5. Décomposition de l’AUC : popularité seule contre modèle complet</w:t>
      </w:r>
    </w:p>
    <w:p>
      <w:pPr>
        <w:pStyle w:val="FirstParagraph"/>
      </w:pPr>
      <w:r>
        <w:t xml:space="preserve">Pour isoler la part du signal réellement attribuable à la</w:t>
      </w:r>
      <w:r>
        <w:t xml:space="preserve"> </w:t>
      </w:r>
      <w:r>
        <w:t xml:space="preserve">personnalisation, une baseline minimale a été construite : un score basé</w:t>
      </w:r>
      <w:r>
        <w:t xml:space="preserve"> </w:t>
      </w:r>
      <w:r>
        <w:rPr>
          <w:b/>
          <w:bCs/>
        </w:rPr>
        <w:t xml:space="preserve">uniquement</w:t>
      </w:r>
      <w:r>
        <w:t xml:space="preserve"> </w:t>
      </w:r>
      <w:r>
        <w:t xml:space="preserve">sur</w:t>
      </w:r>
      <w:r>
        <w:t xml:space="preserve"> </w:t>
      </w:r>
      <w:r>
        <w:rPr>
          <w:rStyle w:val="VerbatimChar"/>
        </w:rPr>
        <w:t xml:space="preserve">popularite_n_clients</w:t>
      </w:r>
      <w:r>
        <w:t xml:space="preserve">, sans aucune information sur le</w:t>
      </w:r>
      <w:r>
        <w:t xml:space="preserve"> </w:t>
      </w:r>
      <w:r>
        <w:t xml:space="preserve">client, évaluée sur le même jeu de test que le Modèle B officiel</w:t>
      </w:r>
      <w:r>
        <w:t xml:space="preserve"> </w:t>
      </w:r>
      <w:r>
        <w:t xml:space="preserve">(9 366 765 lignes).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Configuration</w:t>
            </w:r>
          </w:p>
        </w:tc>
        <w:tc>
          <w:tcPr/>
          <w:p>
            <w:pPr>
              <w:pStyle w:val="Compact"/>
            </w:pPr>
            <w:r>
              <w:t xml:space="preserve">AUC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 popularité seule</w:t>
            </w:r>
          </w:p>
        </w:tc>
        <w:tc>
          <w:tcPr/>
          <w:p>
            <w:pPr>
              <w:pStyle w:val="Compact"/>
            </w:pPr>
            <w:r>
              <w:t xml:space="preserve">0,8749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Modèle B complet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0,9596</w:t>
            </w:r>
          </w:p>
        </w:tc>
      </w:tr>
    </w:tbl>
    <w:p>
      <w:pPr>
        <w:pStyle w:val="BodyText"/>
      </w:pPr>
      <w:r>
        <w:rPr>
          <w:b/>
          <w:bCs/>
        </w:rPr>
        <w:t xml:space="preserve">Interprétation</w:t>
      </w:r>
      <w:r>
        <w:t xml:space="preserve"> </w:t>
      </w:r>
      <w:r>
        <w:t xml:space="preserve">: la popularité seule produit déjà un AUC élevé</w:t>
      </w:r>
      <w:r>
        <w:t xml:space="preserve"> </w:t>
      </w:r>
      <w:r>
        <w:t xml:space="preserve">(0,8749), ce qui explique une large part du niveau global observé — un</w:t>
      </w:r>
      <w:r>
        <w:t xml:space="preserve"> </w:t>
      </w:r>
      <w:r>
        <w:t xml:space="preserve">catalogue restreint (65 pass) avec une forte concentration des achats (4</w:t>
      </w:r>
      <w:r>
        <w:t xml:space="preserve"> </w:t>
      </w:r>
      <w:r>
        <w:t xml:space="preserve">pass concentrant environ 50 % du volume) rend la tâche intrinsèquement</w:t>
      </w:r>
      <w:r>
        <w:t xml:space="preserve"> </w:t>
      </w:r>
      <w:r>
        <w:t xml:space="preserve">plus facile qu’un scénario à catalogue large et diffus, indépendamment de</w:t>
      </w:r>
      <w:r>
        <w:t xml:space="preserve"> </w:t>
      </w:r>
      <w:r>
        <w:t xml:space="preserve">la qualité du modèle. Le modèle complet ajoute néanmoins un</w:t>
      </w:r>
      <w:r>
        <w:t xml:space="preserve"> </w:t>
      </w:r>
      <w:r>
        <w:rPr>
          <w:b/>
          <w:bCs/>
        </w:rPr>
        <w:t xml:space="preserve">gain net et</w:t>
      </w:r>
      <w:r>
        <w:rPr>
          <w:b/>
          <w:bCs/>
        </w:rPr>
        <w:t xml:space="preserve"> </w:t>
      </w:r>
      <w:r>
        <w:rPr>
          <w:b/>
          <w:bCs/>
        </w:rPr>
        <w:t xml:space="preserve">mesuré de +0,085 point d’AUC</w:t>
      </w:r>
      <w:r>
        <w:t xml:space="preserve">, non négligeable, qui constitue la preuve</w:t>
      </w:r>
      <w:r>
        <w:t xml:space="preserve"> </w:t>
      </w:r>
      <w:r>
        <w:t xml:space="preserve">d’une personnalisation réelle au-delà de la simple popularité.</w:t>
      </w:r>
    </w:p>
    <w:p>
      <w:pPr>
        <w:pStyle w:val="BodyText"/>
      </w:pPr>
      <w:r>
        <w:t xml:space="preserve">Ce résultat est cohérent avec la comparaison aux baselines déjà réalisée</w:t>
      </w:r>
      <w:r>
        <w:t xml:space="preserve"> </w:t>
      </w:r>
      <w:r>
        <w:t xml:space="preserve">pour le Modèle A (ranker), qui affichait un gain de +23,8 points de</w:t>
      </w:r>
      <w:r>
        <w:t xml:space="preserve"> </w:t>
      </w:r>
      <w:r>
        <w:t xml:space="preserve">NDCG@1 par rapport à la meilleure baseline non-ML (popularité pondérée</w:t>
      </w:r>
      <w:r>
        <w:t xml:space="preserve"> </w:t>
      </w:r>
      <w:r>
        <w:t xml:space="preserve">par segment).</w:t>
      </w:r>
    </w:p>
    <w:bookmarkEnd w:id="13"/>
    <w:bookmarkStart w:id="14" w:name="split-taille-déchantillon-et-cold-start"/>
    <w:p>
      <w:pPr>
        <w:pStyle w:val="Heading1"/>
      </w:pPr>
      <w:r>
        <w:t xml:space="preserve">6. Split, taille d’échantillon et cold-start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Split train/test</w:t>
      </w:r>
      <w:r>
        <w:t xml:space="preserve"> </w:t>
      </w:r>
      <w:r>
        <w:t xml:space="preserve">: groupé par client et stratifié (aucun client</w:t>
      </w:r>
      <w:r>
        <w:t xml:space="preserve"> </w:t>
      </w:r>
      <w:r>
        <w:t xml:space="preserve">présent à la fois en train et en test, garanti par construction),</w:t>
      </w:r>
      <w:r>
        <w:t xml:space="preserve"> </w:t>
      </w:r>
      <w:r>
        <w:t xml:space="preserve">453 355 clients et 9 366 765 lignes côté test — un volume large,</w:t>
      </w:r>
      <w:r>
        <w:t xml:space="preserve"> </w:t>
      </w:r>
      <w:r>
        <w:t xml:space="preserve">éliminant tout risque de non-représentativité par sous-échantillonnage.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Comparaison aux baselines</w:t>
      </w:r>
      <w:r>
        <w:t xml:space="preserve"> </w:t>
      </w:r>
      <w:r>
        <w:t xml:space="preserve">: déjà réalisée pour le Modèle A (section</w:t>
      </w:r>
      <w:r>
        <w:t xml:space="preserve"> </w:t>
      </w:r>
      <w:r>
        <w:t xml:space="preserve">5), cohérente avec les résultats de décomposition d’AUC du Modèle B</w:t>
      </w:r>
      <w:r>
        <w:t xml:space="preserve"> </w:t>
      </w:r>
      <w:r>
        <w:t xml:space="preserve">obtenus dans cet audit.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Cold-start</w:t>
      </w:r>
      <w:r>
        <w:t xml:space="preserve"> </w:t>
      </w:r>
      <w:r>
        <w:t xml:space="preserve">(205 223 clients sans historique) : reste non évaluable</w:t>
      </w:r>
      <w:r>
        <w:t xml:space="preserve"> </w:t>
      </w:r>
      <w:r>
        <w:t xml:space="preserve">avec les données disponibles, aucun changement par rapport au</w:t>
      </w:r>
      <w:r>
        <w:t xml:space="preserve"> </w:t>
      </w:r>
      <w:r>
        <w:t xml:space="preserve">diagnostic initial — ces clients n’ont, par construction, aucun achat</w:t>
      </w:r>
      <w:r>
        <w:t xml:space="preserve"> </w:t>
      </w:r>
      <w:r>
        <w:t xml:space="preserve">observé permettant de vérifier après coup la pertinence d’une</w:t>
      </w:r>
      <w:r>
        <w:t xml:space="preserve"> </w:t>
      </w:r>
      <w:r>
        <w:t xml:space="preserve">recommandation.</w:t>
      </w:r>
    </w:p>
    <w:bookmarkEnd w:id="14"/>
    <w:bookmarkStart w:id="15" w:name="verdict"/>
    <w:p>
      <w:pPr>
        <w:pStyle w:val="Heading1"/>
      </w:pPr>
      <w:r>
        <w:t xml:space="preserve">7. Verdict</w:t>
      </w:r>
    </w:p>
    <w:p>
      <w:pPr>
        <w:pStyle w:val="FirstParagraph"/>
      </w:pPr>
      <w:r>
        <w:rPr>
          <w:b/>
          <w:bCs/>
        </w:rPr>
        <w:t xml:space="preserve">Aucune fuite de données n’a été identifiée</w:t>
      </w:r>
      <w:r>
        <w:t xml:space="preserve">, ni explicite (colonnes</w:t>
      </w:r>
      <w:r>
        <w:t xml:space="preserve"> </w:t>
      </w:r>
      <w:r>
        <w:t xml:space="preserve">proscrites absentes du fichier livré) ni indirecte (aucune variable ne</w:t>
      </w:r>
      <w:r>
        <w:t xml:space="preserve"> </w:t>
      </w:r>
      <w:r>
        <w:t xml:space="preserve">recalcule une information dérivée de la cible après la période de</w:t>
      </w:r>
      <w:r>
        <w:t xml:space="preserve"> </w:t>
      </w:r>
      <w:r>
        <w:t xml:space="preserve">prédiction).</w:t>
      </w:r>
    </w:p>
    <w:p>
      <w:pPr>
        <w:pStyle w:val="BodyText"/>
      </w:pPr>
      <w:r>
        <w:t xml:space="preserve">Les métriques élevées s’expliquent principalement par une</w:t>
      </w:r>
      <w:r>
        <w:t xml:space="preserve"> </w:t>
      </w:r>
      <w:r>
        <w:rPr>
          <w:b/>
          <w:bCs/>
        </w:rPr>
        <w:t xml:space="preserve">caractéristique du domaine</w:t>
      </w:r>
      <w:r>
        <w:t xml:space="preserve"> </w:t>
      </w:r>
      <w:r>
        <w:t xml:space="preserve">— un catalogue restreint et fortement</w:t>
      </w:r>
      <w:r>
        <w:t xml:space="preserve"> </w:t>
      </w:r>
      <w:r>
        <w:t xml:space="preserve">concentré — et non par un artefact méthodologique. Le socle de</w:t>
      </w:r>
      <w:r>
        <w:t xml:space="preserve"> </w:t>
      </w:r>
      <w:r>
        <w:t xml:space="preserve">performance apporté par la popularité seule est important (AUC = 0,875),</w:t>
      </w:r>
      <w:r>
        <w:t xml:space="preserve"> </w:t>
      </w:r>
      <w:r>
        <w:t xml:space="preserve">mais les modèles ajoutent un gain de personnalisation réel et quantifié</w:t>
      </w:r>
      <w:r>
        <w:t xml:space="preserve"> </w:t>
      </w:r>
      <w:r>
        <w:t xml:space="preserve">au-dessus de ce socle (+0,085 d’AUC pour le Modèle B, +23,8 points de</w:t>
      </w:r>
      <w:r>
        <w:t xml:space="preserve"> </w:t>
      </w:r>
      <w:r>
        <w:t xml:space="preserve">NDCG@1 pour le Modèle A face aux meilleures baselines non-ML).</w:t>
      </w:r>
    </w:p>
    <w:bookmarkEnd w:id="15"/>
    <w:bookmarkStart w:id="16" w:name="recommandation-pour-la-suite"/>
    <w:p>
      <w:pPr>
        <w:pStyle w:val="Heading1"/>
      </w:pPr>
      <w:r>
        <w:t xml:space="preserve">8. Recommandation pour la suite</w:t>
      </w:r>
    </w:p>
    <w:p>
      <w:pPr>
        <w:pStyle w:val="FirstParagraph"/>
      </w:pPr>
      <w:r>
        <w:t xml:space="preserve">Ne jamais présenter l’AUC ou la Precision de façon isolée dans les</w:t>
      </w:r>
      <w:r>
        <w:t xml:space="preserve"> </w:t>
      </w:r>
      <w:r>
        <w:t xml:space="preserve">communications futures (rapport, soutenance) : toujours l’accompagner du</w:t>
      </w:r>
      <w:r>
        <w:t xml:space="preserve"> </w:t>
      </w:r>
      <w:r>
        <w:t xml:space="preserve">chiffre de la baseline de popularité correspondante, pour distinguer</w:t>
      </w:r>
      <w:r>
        <w:t xml:space="preserve"> </w:t>
      </w:r>
      <w:r>
        <w:t xml:space="preserve">explicitement la part de performance</w:t>
      </w:r>
      <w:r>
        <w:t xml:space="preserve"> </w:t>
      </w:r>
      <w:r>
        <w:t xml:space="preserve">“facile”</w:t>
      </w:r>
      <w:r>
        <w:t xml:space="preserve"> </w:t>
      </w:r>
      <w:r>
        <w:t xml:space="preserve">(propre au domaine) de la</w:t>
      </w:r>
      <w:r>
        <w:t xml:space="preserve"> </w:t>
      </w:r>
      <w:r>
        <w:t xml:space="preserve">part de performance réellement apportée par le modèle. C’est cette</w:t>
      </w:r>
      <w:r>
        <w:t xml:space="preserve"> </w:t>
      </w:r>
      <w:r>
        <w:t xml:space="preserve">mise en contexte, absente des métriques brutes initiales, qui a permis de</w:t>
      </w:r>
      <w:r>
        <w:t xml:space="preserve"> </w:t>
      </w:r>
      <w:r>
        <w:t xml:space="preserve">lever le doute sur une possible fuite de données.</w:t>
      </w:r>
    </w:p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Système de recommandation de pass — Orange Guinée</dc:title>
  <dc:creator/>
  <cp:keywords/>
  <dcterms:created xsi:type="dcterms:W3CDTF">2026-08-30T20:40:33Z</dcterms:created>
  <dcterms:modified xsi:type="dcterms:W3CDTF">2026-08-30T20:40:33Z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30 août 2026</vt:lpwstr>
  </property>
  <property fmtid="{D5CDD505-2E9C-101B-9397-08002B2CF9AE}" pid="3" name="subtitle">
    <vt:lpwstr>Rapport d’audit : fuite de données et dépendance à la popularité</vt:lpwstr>
  </property>
</Properties>
</file>