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ابراهیم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صدیقی</w:t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دانشجویی</w:t>
      </w:r>
      <w:r w:rsidDel="00000000" w:rsidR="00000000" w:rsidRPr="00000000">
        <w:rPr>
          <w:rtl w:val="1"/>
        </w:rPr>
        <w:t xml:space="preserve">: ۹۹۳۱۰۹۸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PCIe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Peripheral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Interconnect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PCIe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پهنای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سوئیچ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پهنای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NVMe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پهنای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انویدیا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تراشه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سریعتر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Texture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واکشی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CUDA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کوچکترین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Warp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گروهی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گروهی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Multiprocessor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تعویض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CUDA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deviceQuery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CUDA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پروفایل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CUDA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GDB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Sanitizer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Nsight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Nsight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CUDA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CUDA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1024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1024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20000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$$ \</w:t>
      </w:r>
      <w:r w:rsidDel="00000000" w:rsidR="00000000" w:rsidRPr="00000000">
        <w:rPr>
          <w:rtl w:val="0"/>
        </w:rPr>
        <w:t xml:space="preserve">lceil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frac</w:t>
      </w:r>
      <w:r w:rsidDel="00000000" w:rsidR="00000000" w:rsidRPr="00000000">
        <w:rPr>
          <w:rtl w:val="0"/>
        </w:rPr>
        <w:t xml:space="preserve">{1024} \</w:t>
      </w:r>
      <w:r w:rsidDel="00000000" w:rsidR="00000000" w:rsidRPr="00000000">
        <w:rPr>
          <w:rtl w:val="0"/>
        </w:rPr>
        <w:t xml:space="preserve">rceil</w:t>
      </w:r>
      <w:r w:rsidDel="00000000" w:rsidR="00000000" w:rsidRPr="00000000">
        <w:rPr>
          <w:rtl w:val="1"/>
        </w:rPr>
        <w:t xml:space="preserve"> = 20 $$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لزوما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ایندکس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index = blockIdx.x * blockDim.x + threadIdx.x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for(int i = 0; i &lt; num_indices_per_thread; ++i) {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int index = (blockIdx.x * blockDim.x + threadIdx.x) * num_indices_per_thread + i;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// Check if index is within bounds before processing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if(index &lt; 20,000) {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// Perform calculations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indices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16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16 * 16 = 256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12.5٪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ظرفیت</w:t>
      </w:r>
      <w:r w:rsidDel="00000000" w:rsidR="00000000" w:rsidRPr="00000000">
        <w:rPr>
          <w:rtl w:val="1"/>
        </w:rPr>
        <w:t xml:space="preserve"> 2048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20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16 * 20 = 320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15.625٪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32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16 * 32 = 512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200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10 * 200 = 2000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97.65625٪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256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8 * 256 = 2048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100٪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1000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2 * 1000 = 2000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97.65625٪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1024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2 * 1024 = 2048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100٪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16، 20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200، 256، 1000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1024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CUDA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$$ output[i] = 0.14 \times input[i] + 0.29 \times input[i + 1] + 0.57 \times input[i + 2] $$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0"/>
        </w:rPr>
        <w:t xml:space="preserve"> (10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128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1024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، 16 </w:t>
      </w:r>
      <w:r w:rsidDel="00000000" w:rsidR="00000000" w:rsidRPr="00000000">
        <w:rPr>
          <w:rtl w:val="0"/>
        </w:rPr>
        <w:t xml:space="preserve">Blocks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2048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CUDA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__global__ void weightedMovingAverage(float *input, float *output, int len) {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int index = blockIdx.x * blockDim.x + threadIdx.x;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if (index &lt; len - 2) { // Ensure we don't read beyond the array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output[index] = 0.14f * input[index] + 0.29f * input[index + 1] + 0.57f * input[index + 2];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</w:t>
      </w:r>
      <w:r w:rsidDel="00000000" w:rsidR="00000000" w:rsidRPr="00000000">
        <w:rPr>
          <w:rtl w:val="1"/>
        </w:rPr>
        <w:t xml:space="preserve"> (32)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1024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(2048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0"/>
        </w:rPr>
        <w:t xml:space="preserve"> * 10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 = 20480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blockSize = 1024; // Max threads per block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minBlocksPerSM = 16; // Min blocks per SM to keep the SMs busy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maxThreadsPerSM = 2048; // Max threads per SM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numSMs = 10; // Number of SMs in the GPU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blockCount = (len + blockSize - 1) / blockSize; // Total blocks needed for the array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blockCount = max(blockCount, numSMs * minBlocksPerSM); // Ensure we have enough blocks to keep all SMs busy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Adjust blockCount to not exceed the total number of active threads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maxActiveThreads = numSMs * maxThreadsPerSM;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(blockCount * blockSize &gt; maxActiveThreads) {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blockCount = maxActiveThreads / blockSize;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(256، 512، 1024، 20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، 4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پهنای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