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48"/>
          <w:szCs w:val="48"/>
          <w:rtl w:val="1"/>
        </w:rPr>
        <w:t xml:space="preserve">                             </w:t>
      </w:r>
      <w:r w:rsidDel="00000000" w:rsidR="00000000" w:rsidRPr="00000000">
        <w:rPr>
          <w:sz w:val="48"/>
          <w:szCs w:val="48"/>
          <w:rtl w:val="1"/>
        </w:rPr>
        <w:t xml:space="preserve">به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نام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خدا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تهیه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کننده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ابراهیم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صدیقی</w:t>
      </w:r>
      <w:r w:rsidDel="00000000" w:rsidR="00000000" w:rsidRPr="00000000">
        <w:rPr>
          <w:sz w:val="28"/>
          <w:szCs w:val="28"/>
          <w:rtl w:val="1"/>
        </w:rPr>
        <w:t xml:space="preserve">  </w:t>
        <w:tab/>
        <w:tab/>
        <w:tab/>
        <w:tab/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دانشجویی</w:t>
      </w:r>
      <w:r w:rsidDel="00000000" w:rsidR="00000000" w:rsidRPr="00000000">
        <w:rPr>
          <w:sz w:val="28"/>
          <w:szCs w:val="28"/>
          <w:rtl w:val="1"/>
        </w:rPr>
        <w:t xml:space="preserve">: ۹۹۳۱۰۹۸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۱)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پروتکل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فقدان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سربرگ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ناکارآمدی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اشکالات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پروتکل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/1.0)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سازگاری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قدیمی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/1.0 </w:t>
      </w:r>
      <w:r w:rsidDel="00000000" w:rsidR="00000000" w:rsidRPr="00000000">
        <w:rPr>
          <w:rtl w:val="1"/>
        </w:rPr>
        <w:t xml:space="preserve">متکی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/2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/3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۲)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/3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آخرین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پروتکل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پروتکل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پیشینیان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TCP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Quick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UDP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Internet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Connections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QUIC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پروتکل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چندگانه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توانایی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پروتکل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برقراری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پروتکل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کارآمدتر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۳)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پروتکل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روزرسانی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ایمنی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توانایی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ناامنی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Idempotent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هماهنگی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 and sound: read (GET)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 and non-competent: unacceptable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Insecure and Powerless: Update (PUT)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Insecure and non-capable: create (POST), delete (DELETE)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۴)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Flag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httpOnly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XSS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کوکی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هویت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highlight w:val="white"/>
        </w:rPr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httpOnly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کوکی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Cookie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sessionId=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12345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Secure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HttpOnly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HttpOnly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مخربی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httpOnly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۵)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کلاینت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رهگیری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معکوس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مقیاس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پروکسی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ناشناس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ابزارهایی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Squid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Proxy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Apache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پروکسی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معکوس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خاتمه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معکوس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Nginx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HAProxy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ترافیک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۶)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gRPC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RPC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بافرهای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پروتکل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gRPC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بلادرنگ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gRPC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احراز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gRPC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۷)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ترافیک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ترافیک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پروتکل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مفاهیمی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پروکسی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رمزگذاری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۸)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CDN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کارآمدتر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CDN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CDN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هنگامی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CDN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CDN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جغرافیایی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تحویل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BeautifulSoup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تعطیلات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(</w:t>
      </w:r>
      <w:hyperlink r:id="rId6">
        <w:r w:rsidDel="00000000" w:rsidR="00000000" w:rsidRPr="00000000">
          <w:rPr>
            <w:color w:val="1155cc"/>
            <w:u w:val="single"/>
            <w:rtl w:val="1"/>
          </w:rPr>
          <w:t xml:space="preserve">این</w:t>
        </w:r>
      </w:hyperlink>
      <w:hyperlink r:id="rId7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1"/>
          </w:rPr>
          <w:t xml:space="preserve">لینک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BeautifulSoup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فیلتر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عکس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3801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71104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725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time.ir/fa/eventyear-%d8%aa%d9%82%d9%88%db%8c%d9%85-%d8%b3%d8%a7%d9%84%db%8c%d8%a7%d9%86%d9%87" TargetMode="External"/><Relationship Id="rId7" Type="http://schemas.openxmlformats.org/officeDocument/2006/relationships/hyperlink" Target="https://www.time.ir/fa/eventyear-%d8%aa%d9%82%d9%88%db%8c%d9%85-%d8%b3%d8%a7%d9%84%db%8c%d8%a7%d9%86%d9%87" TargetMode="External"/><Relationship Id="rId8" Type="http://schemas.openxmlformats.org/officeDocument/2006/relationships/hyperlink" Target="https://www.time.ir/fa/eventyear-%d8%aa%d9%82%d9%88%db%8c%d9%85-%d8%b3%d8%a7%d9%84%db%8c%d8%a7%d9%86%d9%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