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72"/>
          <w:szCs w:val="72"/>
        </w:rPr>
        <w:t xml:space="preserve">KERJAFLOW</w:t>
      </w:r>
    </w:p>
    <w:p>
      <w:pPr>
        <w:spacing w:before="200"/>
        <w:jc w:val="center"/>
      </w:pPr>
      <w:r>
        <w:rPr>
          <w:color w:val="2C3E50"/>
          <w:sz w:val="48"/>
          <w:szCs w:val="48"/>
        </w:rPr>
        <w:t xml:space="preserve">Budget Enterprise Architecture v3.0</w:t>
      </w:r>
    </w:p>
    <w:p>
      <w:pPr>
        <w:spacing w:before="400"/>
        <w:jc w:val="center"/>
      </w:pPr>
      <w:r>
        <w:rPr>
          <w:sz w:val="32"/>
          <w:szCs w:val="32"/>
        </w:rPr>
        <w:t xml:space="preserve">9-Country ASEAN Workforce Management Platform</w:t>
      </w:r>
    </w:p>
    <w:p>
      <w:pPr>
        <w:spacing w:before="600"/>
        <w:jc w:val="center"/>
      </w:pPr>
      <w:r>
        <w:rPr>
          <w:sz w:val="28"/>
          <w:szCs w:val="28"/>
        </w:rPr>
        <w:t xml:space="preserve">🇲🇾 Malaysia • 🇸🇬 Singapore • 🇮🇩 Indonesia • 🇹🇭 Thailand</w:t>
      </w:r>
    </w:p>
    <w:p>
      <w:pPr>
        <w:spacing w:before="100"/>
        <w:jc w:val="center"/>
      </w:pPr>
      <w:r>
        <w:rPr>
          <w:sz w:val="28"/>
          <w:szCs w:val="28"/>
        </w:rPr>
        <w:t xml:space="preserve">🇻🇳 Vietnam • 🇵🇭 Philippines • 🇱🇦 Laos • 🇰🇭 Cambodia • 🇧🇳 Brunei</w:t>
      </w:r>
    </w:p>
    <w:p>
      <w:pPr>
        <w:spacing w:before="800"/>
        <w:jc w:val="center"/>
      </w:pPr>
      <w:r>
        <w:rPr>
          <w:sz w:val="24"/>
          <w:szCs w:val="24"/>
        </w:rPr>
        <w:t xml:space="preserve">Document Version: 3.0</w:t>
      </w:r>
    </w:p>
    <w:p>
      <w:pPr>
        <w:spacing w:before="100"/>
        <w:jc w:val="center"/>
      </w:pPr>
      <w:r>
        <w:rPr>
          <w:sz w:val="24"/>
          <w:szCs w:val="24"/>
        </w:rPr>
        <w:t xml:space="preserve">Release Date: December 2025</w:t>
      </w:r>
    </w:p>
    <w:p>
      <w:pPr>
        <w:spacing w:before="100"/>
        <w:jc w:val="center"/>
      </w:pPr>
      <w:r>
        <w:rPr>
          <w:i/>
          <w:iCs/>
          <w:sz w:val="24"/>
          <w:szCs w:val="24"/>
        </w:rPr>
        <w:t xml:space="preserve">Classification: Internal - Technical Architecture</w:t>
      </w:r>
    </w:p>
    <w:p>
      <w:r>
        <w:br w:type="page"/>
      </w:r>
    </w:p>
    <w:p>
      <w:pPr>
        <w:pStyle w:val="Heading1"/>
      </w:pPr>
      <w:r>
        <w:t xml:space="preserve">1. Executive Summary</w:t>
      </w:r>
    </w:p>
    <w:p>
      <w:pPr>
        <w:spacing w:after="120"/>
      </w:pPr>
      <w:r>
        <w:t xml:space="preserve">KerjaFlow v3.0 represents a comprehensive expansion of our enterprise workforce management platform to cover 9 ASEAN countries. This document provides complete technical specifications for deploying a fully compliant, cost-optimized infrastructure using 100% open-source and budget-friendly solutions.</w:t>
      </w:r>
    </w:p>
    <w:p>
      <w:pPr>
        <w:pStyle w:val="Heading2"/>
      </w:pPr>
      <w:r>
        <w:t xml:space="preserve">1.1 Version History</w:t>
      </w:r>
    </w:p>
    <w:p>
      <w:pPr>
        <w:spacing w:after="120"/>
      </w:pPr>
      <w:r>
        <w:t xml:space="preserve">Version 1.0: Initial 6-country architecture (MY, SG, ID, TH, VN, PH)</w:t>
      </w:r>
    </w:p>
    <w:p>
      <w:pPr>
        <w:spacing w:after="120"/>
      </w:pPr>
      <w:r>
        <w:t xml:space="preserve">Version 2.0: Zero-cost audit and budget VPS optimization</w:t>
      </w:r>
    </w:p>
    <w:p>
      <w:pPr>
        <w:spacing w:after="120"/>
      </w:pPr>
      <w:r>
        <w:t xml:space="preserve">Version 3.0: Expansion to 9 countries adding Laos, Cambodia, and Brunei</w:t>
      </w:r>
    </w:p>
    <w:p>
      <w:pPr>
        <w:pStyle w:val="Heading2"/>
      </w:pPr>
      <w:r>
        <w:t xml:space="preserve">1.2 Key Achievements</w:t>
      </w:r>
    </w:p>
    <w:p>
      <w:pPr>
        <w:spacing w:after="80"/>
      </w:pPr>
      <w:r>
        <w:rPr>
          <w:b/>
          <w:bCs/>
        </w:rPr>
        <w:t xml:space="preserve">Total Infrastructure Cost: </w:t>
      </w:r>
      <w:r>
        <w:t xml:space="preserve">$109-114/month for full 9-country coverage</w:t>
      </w:r>
    </w:p>
    <w:p>
      <w:pPr>
        <w:spacing w:after="80"/>
      </w:pPr>
      <w:r>
        <w:rPr>
          <w:b/>
          <w:bCs/>
        </w:rPr>
        <w:t xml:space="preserve">Cost Savings: </w:t>
      </w:r>
      <w:r>
        <w:t xml:space="preserve">85% reduction from premium cloud ($570-880/mo → $109-114/mo)</w:t>
      </w:r>
    </w:p>
    <w:p>
      <w:pPr>
        <w:spacing w:after="80"/>
      </w:pPr>
      <w:r>
        <w:rPr>
          <w:b/>
          <w:bCs/>
        </w:rPr>
        <w:t xml:space="preserve">Data Residency: </w:t>
      </w:r>
      <w:r>
        <w:t xml:space="preserve">100% compliant with all 9 ASEAN country requirements</w:t>
      </w:r>
    </w:p>
    <w:p>
      <w:pPr>
        <w:spacing w:after="80"/>
      </w:pPr>
      <w:r>
        <w:rPr>
          <w:b/>
          <w:bCs/>
        </w:rPr>
        <w:t xml:space="preserve">New Countries: </w:t>
      </w:r>
      <w:r>
        <w:t xml:space="preserve">Laos, Cambodia, and Brunei added with ZERO additional VPS cost</w:t>
      </w:r>
    </w:p>
    <w:p>
      <w:pPr>
        <w:pStyle w:val="Heading2"/>
      </w:pPr>
      <w:r>
        <w:t xml:space="preserve">1.3 Architecture Overview</w:t>
      </w:r>
    </w:p>
    <w:p>
      <w:pPr>
        <w:spacing w:after="120"/>
      </w:pPr>
      <w:r>
        <w:t xml:space="preserve">The KerjaFlow v3.0 architecture uses a hub-spoke model with Malaysia as the central control plane. Regional data planes handle local data residency requirements while sharing infrastructure where regulations permit.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VPS Location</w:t>
            </w:r>
          </w:p>
        </w:tc>
        <w:tc>
          <w:tcPr>
            <w:tcW w:type="dxa" w:w="18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Provider</w:t>
            </w:r>
          </w:p>
        </w:tc>
        <w:tc>
          <w:tcPr>
            <w:tcW w:type="dxa" w:w="30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Monthly Cost</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Malaysia (Hub)</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Malaysia</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Shinjiru</w:t>
            </w:r>
          </w:p>
        </w:tc>
        <w:tc>
          <w:tcPr>
            <w:tcW w:type="dxa" w:w="3060"/>
            <w:tcBorders>
              <w:top w:val="single" w:color="CCCCCC" w:sz="1"/>
              <w:left w:val="single" w:color="CCCCCC" w:sz="1"/>
              <w:bottom w:val="single" w:color="CCCCCC" w:sz="1"/>
              <w:right w:val="single" w:color="CCCCCC" w:sz="1"/>
            </w:tcBorders>
          </w:tcPr>
          <w:p>
            <w:pPr>
              <w:spacing w:before="40" w:after="40"/>
            </w:pPr>
            <w:r>
              <w:rPr>
                <w:sz w:val="20"/>
                <w:szCs w:val="20"/>
              </w:rPr>
              <w:t xml:space="preserve">$59/mo</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Singapore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Singapore</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Contabo</w:t>
            </w:r>
          </w:p>
        </w:tc>
        <w:tc>
          <w:tcPr>
            <w:tcW w:type="dxa" w:w="30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$8/mo</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Indonesia</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Indonesia</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IDCloudHost</w:t>
            </w:r>
          </w:p>
        </w:tc>
        <w:tc>
          <w:tcPr>
            <w:tcW w:type="dxa" w:w="3060"/>
            <w:tcBorders>
              <w:top w:val="single" w:color="CCCCCC" w:sz="1"/>
              <w:left w:val="single" w:color="CCCCCC" w:sz="1"/>
              <w:bottom w:val="single" w:color="CCCCCC" w:sz="1"/>
              <w:right w:val="single" w:color="CCCCCC" w:sz="1"/>
            </w:tcBorders>
          </w:tcPr>
          <w:p>
            <w:pPr>
              <w:spacing w:before="40" w:after="40"/>
            </w:pPr>
            <w:r>
              <w:rPr>
                <w:sz w:val="20"/>
                <w:szCs w:val="20"/>
              </w:rPr>
              <w:t xml:space="preserve">$15/mo</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Thailand + 🇱🇦 Laos</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Thailand</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Linode</w:t>
            </w:r>
          </w:p>
        </w:tc>
        <w:tc>
          <w:tcPr>
            <w:tcW w:type="dxa" w:w="30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$12/mo (shared)</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Vietnam + 🇰🇭 Cambodia</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Vietnam</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VNETWORK</w:t>
            </w:r>
          </w:p>
        </w:tc>
        <w:tc>
          <w:tcPr>
            <w:tcW w:type="dxa" w:w="3060"/>
            <w:tcBorders>
              <w:top w:val="single" w:color="CCCCCC" w:sz="1"/>
              <w:left w:val="single" w:color="CCCCCC" w:sz="1"/>
              <w:bottom w:val="single" w:color="CCCCCC" w:sz="1"/>
              <w:right w:val="single" w:color="CCCCCC" w:sz="1"/>
            </w:tcBorders>
          </w:tcPr>
          <w:p>
            <w:pPr>
              <w:spacing w:before="40" w:after="40"/>
            </w:pPr>
            <w:r>
              <w:rPr>
                <w:sz w:val="20"/>
                <w:szCs w:val="20"/>
              </w:rPr>
              <w:t xml:space="preserve">$15/mo (shared)</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Philippines</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Malaysia Hub</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w:t>
            </w:r>
          </w:p>
        </w:tc>
        <w:tc>
          <w:tcPr>
            <w:tcW w:type="dxa" w:w="30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$0 (uses hub)</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Brunei</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Malaysia Hub</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w:t>
            </w:r>
          </w:p>
        </w:tc>
        <w:tc>
          <w:tcPr>
            <w:tcW w:type="dxa" w:w="3060"/>
            <w:tcBorders>
              <w:top w:val="single" w:color="CCCCCC" w:sz="1"/>
              <w:left w:val="single" w:color="CCCCCC" w:sz="1"/>
              <w:bottom w:val="single" w:color="CCCCCC" w:sz="1"/>
              <w:right w:val="single" w:color="CCCCCC" w:sz="1"/>
            </w:tcBorders>
          </w:tcPr>
          <w:p>
            <w:pPr>
              <w:spacing w:before="40" w:after="40"/>
            </w:pPr>
            <w:r>
              <w:rPr>
                <w:sz w:val="20"/>
                <w:szCs w:val="20"/>
              </w:rPr>
              <w:t xml:space="preserve">$0 (uses hub)</w:t>
            </w:r>
          </w:p>
        </w:tc>
      </w:tr>
      <w:tr>
        <w:tc>
          <w:tcPr>
            <w:tcW w:type="dxa" w:w="2500"/>
            <w:tcBorders>
              <w:top w:val="single" w:color="CCCCCC" w:sz="1"/>
              <w:left w:val="single" w:color="CCCCCC" w:sz="1"/>
              <w:bottom w:val="single" w:color="CCCCCC" w:sz="1"/>
              <w:right w:val="single" w:color="CCCCCC" w:sz="1"/>
            </w:tcBorders>
            <w:shd w:fill="D5F5E3" w:val="clear"/>
          </w:tcPr>
          <w:p>
            <w:r>
              <w:rPr>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D5F5E3" w:val="clear"/>
          </w:tcPr>
          <w:p>
            <w:pPr>
              <w:spacing w:before="40" w:after="40"/>
            </w:pPr>
            <w:r>
              <w:rPr>
                <w:sz w:val="20"/>
                <w:szCs w:val="20"/>
              </w:rPr>
              <w:t xml:space="preserve"/>
            </w:r>
          </w:p>
        </w:tc>
        <w:tc>
          <w:tcPr>
            <w:tcW w:type="dxa" w:w="1800"/>
            <w:tcBorders>
              <w:top w:val="single" w:color="CCCCCC" w:sz="1"/>
              <w:left w:val="single" w:color="CCCCCC" w:sz="1"/>
              <w:bottom w:val="single" w:color="CCCCCC" w:sz="1"/>
              <w:right w:val="single" w:color="CCCCCC" w:sz="1"/>
            </w:tcBorders>
            <w:shd w:fill="D5F5E3" w:val="clear"/>
          </w:tcPr>
          <w:p>
            <w:pPr>
              <w:spacing w:before="40" w:after="40"/>
            </w:pPr>
            <w:r>
              <w:rPr>
                <w:sz w:val="20"/>
                <w:szCs w:val="20"/>
              </w:rPr>
              <w:t xml:space="preserve"/>
            </w:r>
          </w:p>
        </w:tc>
        <w:tc>
          <w:tcPr>
            <w:tcW w:type="dxa" w:w="3060"/>
            <w:tcBorders>
              <w:top w:val="single" w:color="CCCCCC" w:sz="1"/>
              <w:left w:val="single" w:color="CCCCCC" w:sz="1"/>
              <w:bottom w:val="single" w:color="CCCCCC" w:sz="1"/>
              <w:right w:val="single" w:color="CCCCCC" w:sz="1"/>
            </w:tcBorders>
            <w:shd w:fill="D5F5E3" w:val="clear"/>
          </w:tcPr>
          <w:p>
            <w:r>
              <w:rPr>
                <w:b/>
                <w:bCs/>
                <w:sz w:val="20"/>
                <w:szCs w:val="20"/>
              </w:rPr>
              <w:t xml:space="preserve">$109-114/month</w:t>
            </w:r>
          </w:p>
        </w:tc>
      </w:tr>
    </w:tbl>
    <w:p>
      <w:r>
        <w:br w:type="page"/>
      </w:r>
    </w:p>
    <w:p>
      <w:pPr>
        <w:pStyle w:val="Heading1"/>
      </w:pPr>
      <w:r>
        <w:t xml:space="preserve">2. Data Protection &amp; Privacy Laws</w:t>
      </w:r>
    </w:p>
    <w:p>
      <w:pPr>
        <w:spacing w:after="120"/>
      </w:pPr>
      <w:r>
        <w:t xml:space="preserve">Each ASEAN country has distinct data protection requirements. This section documents the legal framework and compliance requirements for all 9 countries.</w:t>
      </w:r>
    </w:p>
    <w:p>
      <w:pPr>
        <w:pStyle w:val="Heading2"/>
      </w:pPr>
      <w:r>
        <w:t xml:space="preserve">2.1 🇲🇾 Malaysia - PDPA 2010</w:t>
      </w:r>
    </w:p>
    <w:p>
      <w:pPr>
        <w:spacing w:after="80"/>
      </w:pPr>
      <w:r>
        <w:rPr>
          <w:b/>
          <w:bCs/>
        </w:rPr>
        <w:t xml:space="preserve">Law: </w:t>
      </w:r>
      <w:r>
        <w:t xml:space="preserve">Personal Data Protection Act 2010 (PDPA)</w:t>
      </w:r>
    </w:p>
    <w:p>
      <w:pPr>
        <w:spacing w:after="80"/>
      </w:pPr>
      <w:r>
        <w:rPr>
          <w:b/>
          <w:bCs/>
        </w:rPr>
        <w:t xml:space="preserve">Authority: </w:t>
      </w:r>
      <w:r>
        <w:t xml:space="preserve">Department of Personal Data Protection (JPDP)</w:t>
      </w:r>
    </w:p>
    <w:p>
      <w:pPr>
        <w:spacing w:after="80"/>
      </w:pPr>
      <w:r>
        <w:rPr>
          <w:b/>
          <w:bCs/>
        </w:rPr>
        <w:t xml:space="preserve">Data Residency: </w:t>
      </w:r>
      <w:r>
        <w:t xml:space="preserve">No mandatory local storage requirement</w:t>
      </w:r>
    </w:p>
    <w:p>
      <w:pPr>
        <w:spacing w:after="80"/>
      </w:pPr>
      <w:r>
        <w:rPr>
          <w:b/>
          <w:bCs/>
        </w:rPr>
        <w:t xml:space="preserve">Cross-Border Transfer: </w:t>
      </w:r>
      <w:r>
        <w:t xml:space="preserve">Permitted with adequate safeguards</w:t>
      </w:r>
    </w:p>
    <w:p>
      <w:pPr>
        <w:spacing w:after="80"/>
      </w:pPr>
      <w:r>
        <w:rPr>
          <w:b/>
          <w:bCs/>
        </w:rPr>
        <w:t xml:space="preserve">Penalties: </w:t>
      </w:r>
      <w:r>
        <w:t xml:space="preserve">Up to RM 500,000 fine and/or 3 years imprisonment</w:t>
      </w:r>
    </w:p>
    <w:p>
      <w:pPr>
        <w:spacing w:after="80"/>
      </w:pPr>
      <w:r>
        <w:rPr>
          <w:b/>
          <w:bCs/>
        </w:rPr>
        <w:t xml:space="preserve">Key Requirements: </w:t>
      </w:r>
      <w:r>
        <w:t xml:space="preserve">Data user registration, consent mechanism, security safeguards</w:t>
      </w:r>
    </w:p>
    <w:p>
      <w:pPr>
        <w:spacing w:after="80"/>
      </w:pPr>
      <w:r>
        <w:rPr>
          <w:b/>
          <w:bCs/>
        </w:rPr>
        <w:t xml:space="preserve">VPS Strategy: </w:t>
      </w:r>
      <w:r>
        <w:t xml:space="preserve">Malaysia Hub (Shinjiru $59/mo) - Central control plane</w:t>
      </w:r>
    </w:p>
    <w:p>
      <w:pPr>
        <w:pStyle w:val="Heading2"/>
      </w:pPr>
      <w:r>
        <w:t xml:space="preserve">2.2 🇸🇬 Singapore - PDPA 2012</w:t>
      </w:r>
    </w:p>
    <w:p>
      <w:pPr>
        <w:spacing w:after="80"/>
      </w:pPr>
      <w:r>
        <w:rPr>
          <w:b/>
          <w:bCs/>
        </w:rPr>
        <w:t xml:space="preserve">Law: </w:t>
      </w:r>
      <w:r>
        <w:t xml:space="preserve">Personal Data Protection Act 2012 (amended 2020)</w:t>
      </w:r>
    </w:p>
    <w:p>
      <w:pPr>
        <w:spacing w:after="80"/>
      </w:pPr>
      <w:r>
        <w:rPr>
          <w:b/>
          <w:bCs/>
        </w:rPr>
        <w:t xml:space="preserve">Authority: </w:t>
      </w:r>
      <w:r>
        <w:t xml:space="preserve">Personal Data Protection Commission (PDPC)</w:t>
      </w:r>
    </w:p>
    <w:p>
      <w:pPr>
        <w:spacing w:after="80"/>
      </w:pPr>
      <w:r>
        <w:rPr>
          <w:b/>
          <w:bCs/>
        </w:rPr>
        <w:t xml:space="preserve">Data Residency: </w:t>
      </w:r>
      <w:r>
        <w:t xml:space="preserve">No mandatory local storage, but recommended for sensitive data</w:t>
      </w:r>
    </w:p>
    <w:p>
      <w:pPr>
        <w:spacing w:after="80"/>
      </w:pPr>
      <w:r>
        <w:rPr>
          <w:b/>
          <w:bCs/>
        </w:rPr>
        <w:t xml:space="preserve">Cross-Border Transfer: </w:t>
      </w:r>
      <w:r>
        <w:t xml:space="preserve">Permitted with comparable protection</w:t>
      </w:r>
    </w:p>
    <w:p>
      <w:pPr>
        <w:spacing w:after="80"/>
      </w:pPr>
      <w:r>
        <w:rPr>
          <w:b/>
          <w:bCs/>
        </w:rPr>
        <w:t xml:space="preserve">Penalties: </w:t>
      </w:r>
      <w:r>
        <w:t xml:space="preserve">Up to SGD 1 million or 10% annual turnover (whichever higher)</w:t>
      </w:r>
    </w:p>
    <w:p>
      <w:pPr>
        <w:spacing w:after="80"/>
      </w:pPr>
      <w:r>
        <w:rPr>
          <w:b/>
          <w:bCs/>
        </w:rPr>
        <w:t xml:space="preserve">Key Requirements: </w:t>
      </w:r>
      <w:r>
        <w:t xml:space="preserve">DPO appointment, breach notification (3 days), DPIA for high-risk</w:t>
      </w:r>
    </w:p>
    <w:p>
      <w:pPr>
        <w:spacing w:after="80"/>
      </w:pPr>
      <w:r>
        <w:rPr>
          <w:b/>
          <w:bCs/>
        </w:rPr>
        <w:t xml:space="preserve">VPS Strategy: </w:t>
      </w:r>
      <w:r>
        <w:t xml:space="preserve">Singapore (Contabo $8/mo) - Local presence for financial compliance</w:t>
      </w:r>
    </w:p>
    <w:p>
      <w:pPr>
        <w:pStyle w:val="Heading2"/>
      </w:pPr>
      <w:r>
        <w:t xml:space="preserve">2.3 🇮🇩 Indonesia - UU PDP 2022</w:t>
      </w:r>
    </w:p>
    <w:p>
      <w:pPr>
        <w:spacing w:after="80"/>
      </w:pPr>
      <w:r>
        <w:rPr>
          <w:b/>
          <w:bCs/>
        </w:rPr>
        <w:t xml:space="preserve">Law: </w:t>
      </w:r>
      <w:r>
        <w:t xml:space="preserve">Undang-Undang Pelindungan Data Pribadi (Law No. 27/2022)</w:t>
      </w:r>
    </w:p>
    <w:p>
      <w:pPr>
        <w:spacing w:after="80"/>
      </w:pPr>
      <w:r>
        <w:rPr>
          <w:b/>
          <w:bCs/>
        </w:rPr>
        <w:t xml:space="preserve">Authority: </w:t>
      </w:r>
      <w:r>
        <w:t xml:space="preserve">Ministry of Communication and Information Technology (Kominfo)</w:t>
      </w:r>
    </w:p>
    <w:p>
      <w:pPr>
        <w:spacing w:after="80"/>
      </w:pPr>
      <w:r>
        <w:rPr>
          <w:b/>
          <w:bCs/>
        </w:rPr>
        <w:t xml:space="preserve">Data Residency: </w:t>
      </w:r>
      <w:r>
        <w:t xml:space="preserve">MANDATORY for strategic data sectors</w:t>
      </w:r>
    </w:p>
    <w:p>
      <w:pPr>
        <w:spacing w:after="80"/>
      </w:pPr>
      <w:r>
        <w:rPr>
          <w:b/>
          <w:bCs/>
        </w:rPr>
        <w:t xml:space="preserve">Cross-Border Transfer: </w:t>
      </w:r>
      <w:r>
        <w:t xml:space="preserve">Requires adequacy determination or consent</w:t>
      </w:r>
    </w:p>
    <w:p>
      <w:pPr>
        <w:spacing w:after="80"/>
      </w:pPr>
      <w:r>
        <w:rPr>
          <w:b/>
          <w:bCs/>
        </w:rPr>
        <w:t xml:space="preserve">Penalties: </w:t>
      </w:r>
      <w:r>
        <w:t xml:space="preserve">Up to IDR 60 billion (~$4M USD) and 6 years imprisonment</w:t>
      </w:r>
    </w:p>
    <w:p>
      <w:pPr>
        <w:spacing w:after="80"/>
      </w:pPr>
      <w:r>
        <w:rPr>
          <w:b/>
          <w:bCs/>
        </w:rPr>
        <w:t xml:space="preserve">Key Requirements: </w:t>
      </w:r>
      <w:r>
        <w:t xml:space="preserve">Local data center for certain sectors, breach notification (72 hours)</w:t>
      </w:r>
    </w:p>
    <w:p>
      <w:pPr>
        <w:spacing w:after="80"/>
      </w:pPr>
      <w:r>
        <w:rPr>
          <w:b/>
          <w:bCs/>
        </w:rPr>
        <w:t xml:space="preserve">VPS Strategy: </w:t>
      </w:r>
      <w:r>
        <w:t xml:space="preserve">Indonesia (IDCloudHost $15/mo) - MANDATORY local storage</w:t>
      </w:r>
    </w:p>
    <w:p>
      <w:pPr>
        <w:pStyle w:val="Heading2"/>
      </w:pPr>
      <w:r>
        <w:t xml:space="preserve">2.4 🇹🇭 Thailand - PDPA 2019</w:t>
      </w:r>
    </w:p>
    <w:p>
      <w:pPr>
        <w:spacing w:after="80"/>
      </w:pPr>
      <w:r>
        <w:rPr>
          <w:b/>
          <w:bCs/>
        </w:rPr>
        <w:t xml:space="preserve">Law: </w:t>
      </w:r>
      <w:r>
        <w:t xml:space="preserve">Personal Data Protection Act B.E. 2562 (2019)</w:t>
      </w:r>
    </w:p>
    <w:p>
      <w:pPr>
        <w:spacing w:after="80"/>
      </w:pPr>
      <w:r>
        <w:rPr>
          <w:b/>
          <w:bCs/>
        </w:rPr>
        <w:t xml:space="preserve">Authority: </w:t>
      </w:r>
      <w:r>
        <w:t xml:space="preserve">Personal Data Protection Committee (PDPC)</w:t>
      </w:r>
    </w:p>
    <w:p>
      <w:pPr>
        <w:spacing w:after="80"/>
      </w:pPr>
      <w:r>
        <w:rPr>
          <w:b/>
          <w:bCs/>
        </w:rPr>
        <w:t xml:space="preserve">Data Residency: </w:t>
      </w:r>
      <w:r>
        <w:t xml:space="preserve">No mandatory requirement, but local storage recommended</w:t>
      </w:r>
    </w:p>
    <w:p>
      <w:pPr>
        <w:spacing w:after="80"/>
      </w:pPr>
      <w:r>
        <w:rPr>
          <w:b/>
          <w:bCs/>
        </w:rPr>
        <w:t xml:space="preserve">Cross-Border Transfer: </w:t>
      </w:r>
      <w:r>
        <w:t xml:space="preserve">Permitted with adequate safeguards or consent</w:t>
      </w:r>
    </w:p>
    <w:p>
      <w:pPr>
        <w:spacing w:after="80"/>
      </w:pPr>
      <w:r>
        <w:rPr>
          <w:b/>
          <w:bCs/>
        </w:rPr>
        <w:t xml:space="preserve">Penalties: </w:t>
      </w:r>
      <w:r>
        <w:t xml:space="preserve">Up to THB 5 million administrative fine</w:t>
      </w:r>
    </w:p>
    <w:p>
      <w:pPr>
        <w:spacing w:after="80"/>
      </w:pPr>
      <w:r>
        <w:rPr>
          <w:b/>
          <w:bCs/>
        </w:rPr>
        <w:t xml:space="preserve">Key Requirements: </w:t>
      </w:r>
      <w:r>
        <w:t xml:space="preserve">DPO for large-scale processing, consent management</w:t>
      </w:r>
    </w:p>
    <w:p>
      <w:pPr>
        <w:spacing w:after="80"/>
      </w:pPr>
      <w:r>
        <w:rPr>
          <w:b/>
          <w:bCs/>
        </w:rPr>
        <w:t xml:space="preserve">VPS Strategy: </w:t>
      </w:r>
      <w:r>
        <w:t xml:space="preserve">Thailand (Linode $12/mo) - Shared with Laos</w:t>
      </w:r>
    </w:p>
    <w:p>
      <w:pPr>
        <w:pStyle w:val="Heading2"/>
      </w:pPr>
      <w:r>
        <w:t xml:space="preserve">2.5 🇻🇳 Vietnam - Decree 13/2023</w:t>
      </w:r>
    </w:p>
    <w:p>
      <w:pPr>
        <w:spacing w:after="80"/>
      </w:pPr>
      <w:r>
        <w:rPr>
          <w:b/>
          <w:bCs/>
        </w:rPr>
        <w:t xml:space="preserve">Law: </w:t>
      </w:r>
      <w:r>
        <w:t xml:space="preserve">Decree 13/2023/ND-CP on Personal Data Protection</w:t>
      </w:r>
    </w:p>
    <w:p>
      <w:pPr>
        <w:spacing w:after="80"/>
      </w:pPr>
      <w:r>
        <w:rPr>
          <w:b/>
          <w:bCs/>
        </w:rPr>
        <w:t xml:space="preserve">Authority: </w:t>
      </w:r>
      <w:r>
        <w:t xml:space="preserve">Ministry of Public Security (MPS)</w:t>
      </w:r>
    </w:p>
    <w:p>
      <w:pPr>
        <w:spacing w:after="80"/>
      </w:pPr>
      <w:r>
        <w:rPr>
          <w:b/>
          <w:bCs/>
        </w:rPr>
        <w:t xml:space="preserve">Data Residency: </w:t>
      </w:r>
      <w:r>
        <w:t xml:space="preserve">MANDATORY for Vietnamese citizen data</w:t>
      </w:r>
    </w:p>
    <w:p>
      <w:pPr>
        <w:spacing w:after="80"/>
      </w:pPr>
      <w:r>
        <w:rPr>
          <w:b/>
          <w:bCs/>
        </w:rPr>
        <w:t xml:space="preserve">Cross-Border Transfer: </w:t>
      </w:r>
      <w:r>
        <w:t xml:space="preserve">Requires impact assessment and MPS approval</w:t>
      </w:r>
    </w:p>
    <w:p>
      <w:pPr>
        <w:spacing w:after="80"/>
      </w:pPr>
      <w:r>
        <w:rPr>
          <w:b/>
          <w:bCs/>
        </w:rPr>
        <w:t xml:space="preserve">Penalties: </w:t>
      </w:r>
      <w:r>
        <w:t xml:space="preserve">Up to VND 100 million (~$4,000 USD) per violation</w:t>
      </w:r>
    </w:p>
    <w:p>
      <w:pPr>
        <w:spacing w:after="80"/>
      </w:pPr>
      <w:r>
        <w:rPr>
          <w:b/>
          <w:bCs/>
        </w:rPr>
        <w:t xml:space="preserve">Key Requirements: </w:t>
      </w:r>
      <w:r>
        <w:t xml:space="preserve">Data Impact Assessment File, local storage mandatory</w:t>
      </w:r>
    </w:p>
    <w:p>
      <w:pPr>
        <w:spacing w:after="80"/>
      </w:pPr>
      <w:r>
        <w:rPr>
          <w:b/>
          <w:bCs/>
        </w:rPr>
        <w:t xml:space="preserve">VPS Strategy: </w:t>
      </w:r>
      <w:r>
        <w:t xml:space="preserve">Vietnam (VNETWORK $15/mo) - MANDATORY local storage, shared with Cambodia</w:t>
      </w:r>
    </w:p>
    <w:p>
      <w:pPr>
        <w:pStyle w:val="Heading2"/>
      </w:pPr>
      <w:r>
        <w:t xml:space="preserve">2.6 🇵🇭 Philippines - DPA 2012</w:t>
      </w:r>
    </w:p>
    <w:p>
      <w:pPr>
        <w:spacing w:after="80"/>
      </w:pPr>
      <w:r>
        <w:rPr>
          <w:b/>
          <w:bCs/>
        </w:rPr>
        <w:t xml:space="preserve">Law: </w:t>
      </w:r>
      <w:r>
        <w:t xml:space="preserve">Data Privacy Act of 2012 (Republic Act 10173)</w:t>
      </w:r>
    </w:p>
    <w:p>
      <w:pPr>
        <w:spacing w:after="80"/>
      </w:pPr>
      <w:r>
        <w:rPr>
          <w:b/>
          <w:bCs/>
        </w:rPr>
        <w:t xml:space="preserve">Authority: </w:t>
      </w:r>
      <w:r>
        <w:t xml:space="preserve">National Privacy Commission (NPC)</w:t>
      </w:r>
    </w:p>
    <w:p>
      <w:pPr>
        <w:spacing w:after="80"/>
      </w:pPr>
      <w:r>
        <w:rPr>
          <w:b/>
          <w:bCs/>
        </w:rPr>
        <w:t xml:space="preserve">Data Residency: </w:t>
      </w:r>
      <w:r>
        <w:t xml:space="preserve">No mandatory local storage requirement</w:t>
      </w:r>
    </w:p>
    <w:p>
      <w:pPr>
        <w:spacing w:after="80"/>
      </w:pPr>
      <w:r>
        <w:rPr>
          <w:b/>
          <w:bCs/>
        </w:rPr>
        <w:t xml:space="preserve">Cross-Border Transfer: </w:t>
      </w:r>
      <w:r>
        <w:t xml:space="preserve">Permitted with equivalent protection</w:t>
      </w:r>
    </w:p>
    <w:p>
      <w:pPr>
        <w:spacing w:after="80"/>
      </w:pPr>
      <w:r>
        <w:rPr>
          <w:b/>
          <w:bCs/>
        </w:rPr>
        <w:t xml:space="preserve">Penalties: </w:t>
      </w:r>
      <w:r>
        <w:t xml:space="preserve">Up to PHP 5 million and 6 years imprisonment</w:t>
      </w:r>
    </w:p>
    <w:p>
      <w:pPr>
        <w:spacing w:after="80"/>
      </w:pPr>
      <w:r>
        <w:rPr>
          <w:b/>
          <w:bCs/>
        </w:rPr>
        <w:t xml:space="preserve">Key Requirements: </w:t>
      </w:r>
      <w:r>
        <w:t xml:space="preserve">DPO registration, breach notification (72 hours)</w:t>
      </w:r>
    </w:p>
    <w:p>
      <w:pPr>
        <w:spacing w:after="80"/>
      </w:pPr>
      <w:r>
        <w:rPr>
          <w:b/>
          <w:bCs/>
        </w:rPr>
        <w:t xml:space="preserve">VPS Strategy: </w:t>
      </w:r>
      <w:r>
        <w:t xml:space="preserve">Uses Malaysia Hub ($0 additional) - No local requirement</w:t>
      </w:r>
    </w:p>
    <w:p>
      <w:pPr>
        <w:pStyle w:val="Heading2"/>
      </w:pPr>
      <w:r>
        <w:t xml:space="preserve">2.7 🇱🇦 Laos - Electronic Data Protection Law</w:t>
      </w:r>
    </w:p>
    <w:p>
      <w:pPr>
        <w:spacing w:after="80"/>
      </w:pPr>
      <w:r>
        <w:rPr>
          <w:b/>
          <w:bCs/>
        </w:rPr>
        <w:t xml:space="preserve">Law: </w:t>
      </w:r>
      <w:r>
        <w:t xml:space="preserve">Electronic Data Protection Law No. 25/NA (enacted 12 May 2017)</w:t>
      </w:r>
    </w:p>
    <w:p>
      <w:pPr>
        <w:spacing w:after="80"/>
      </w:pPr>
      <w:r>
        <w:rPr>
          <w:b/>
          <w:bCs/>
        </w:rPr>
        <w:t xml:space="preserve">Authority: </w:t>
      </w:r>
      <w:r>
        <w:t xml:space="preserve">Ministry of Technology and Communications (MTC), LaoCERT</w:t>
      </w:r>
    </w:p>
    <w:p>
      <w:pPr>
        <w:spacing w:after="80"/>
      </w:pPr>
      <w:r>
        <w:rPr>
          <w:b/>
          <w:bCs/>
        </w:rPr>
        <w:t xml:space="preserve">Data Residency: </w:t>
      </w:r>
      <w:r>
        <w:t xml:space="preserve">No mandatory local storage requirement</w:t>
      </w:r>
    </w:p>
    <w:p>
      <w:pPr>
        <w:spacing w:after="80"/>
      </w:pPr>
      <w:r>
        <w:rPr>
          <w:b/>
          <w:bCs/>
        </w:rPr>
        <w:t xml:space="preserve">Cross-Border Transfer: </w:t>
      </w:r>
      <w:r>
        <w:t xml:space="preserve">Requires consent from Data Administrator, must not contravene national interests</w:t>
      </w:r>
    </w:p>
    <w:p>
      <w:pPr>
        <w:spacing w:after="80"/>
      </w:pPr>
      <w:r>
        <w:rPr>
          <w:b/>
          <w:bCs/>
        </w:rPr>
        <w:t xml:space="preserve">Data Classification: </w:t>
      </w:r>
      <w:r>
        <w:t xml:space="preserve">General Data (name, position, address) vs Specific Data (customer data, financial, health - requires authorization)</w:t>
      </w:r>
    </w:p>
    <w:p>
      <w:pPr>
        <w:spacing w:after="80"/>
      </w:pPr>
      <w:r>
        <w:rPr>
          <w:b/>
          <w:bCs/>
        </w:rPr>
        <w:t xml:space="preserve">Penalties: </w:t>
      </w:r>
      <w:r>
        <w:t xml:space="preserve">5-50 million Lao Kip (~$250-$2,500 USD)</w:t>
      </w:r>
    </w:p>
    <w:p>
      <w:pPr>
        <w:spacing w:after="80"/>
      </w:pPr>
      <w:r>
        <w:rPr>
          <w:b/>
          <w:bCs/>
        </w:rPr>
        <w:t xml:space="preserve">Key Requirements: </w:t>
      </w:r>
      <w:r>
        <w:t xml:space="preserve">Employee data classified as 'specific data' - disclosure prohibited without authorization</w:t>
      </w:r>
    </w:p>
    <w:p>
      <w:pPr>
        <w:spacing w:after="80"/>
      </w:pPr>
      <w:r>
        <w:rPr>
          <w:b/>
          <w:bCs/>
        </w:rPr>
        <w:t xml:space="preserve">VPS Strategy: </w:t>
      </w:r>
      <w:r>
        <w:t xml:space="preserve">Uses Thailand VPS (Linode) - $0 additional, shared infrastructure</w:t>
      </w:r>
    </w:p>
    <w:p>
      <w:pPr>
        <w:pStyle w:val="Heading2"/>
      </w:pPr>
      <w:r>
        <w:t xml:space="preserve">2.8 🇰🇭 Cambodia - Draft LPDP</w:t>
      </w:r>
    </w:p>
    <w:p>
      <w:pPr>
        <w:spacing w:after="80"/>
      </w:pPr>
      <w:r>
        <w:rPr>
          <w:b/>
          <w:bCs/>
        </w:rPr>
        <w:t xml:space="preserve">Current Status: </w:t>
      </w:r>
      <w:r>
        <w:t xml:space="preserve">NO comprehensive data protection law enacted (as of December 2025)</w:t>
      </w:r>
    </w:p>
    <w:p>
      <w:pPr>
        <w:spacing w:after="80"/>
      </w:pPr>
      <w:r>
        <w:rPr>
          <w:b/>
          <w:bCs/>
        </w:rPr>
        <w:t xml:space="preserve">Draft Law: </w:t>
      </w:r>
      <w:r>
        <w:t xml:space="preserve">Personal Data Protection Law (LPDP) announced July 2025, NOT YET ENACTED</w:t>
      </w:r>
    </w:p>
    <w:p>
      <w:pPr>
        <w:spacing w:after="80"/>
      </w:pPr>
      <w:r>
        <w:rPr>
          <w:b/>
          <w:bCs/>
        </w:rPr>
        <w:t xml:space="preserve">Expected Framework: </w:t>
      </w:r>
      <w:r>
        <w:t xml:space="preserve">GDPR-inspired with 2-year implementation period after promulgation</w:t>
      </w:r>
    </w:p>
    <w:p>
      <w:pPr>
        <w:spacing w:after="80"/>
      </w:pPr>
      <w:r>
        <w:rPr>
          <w:b/>
          <w:bCs/>
        </w:rPr>
        <w:t xml:space="preserve">Existing Laws: </w:t>
      </w:r>
      <w:r>
        <w:t xml:space="preserve">Constitution Article 40 (privacy), E-Commerce Law, Banking Law confidentiality</w:t>
      </w:r>
    </w:p>
    <w:p>
      <w:pPr>
        <w:spacing w:after="80"/>
      </w:pPr>
      <w:r>
        <w:rPr>
          <w:b/>
          <w:bCs/>
        </w:rPr>
        <w:t xml:space="preserve">Data Residency: </w:t>
      </w:r>
      <w:r>
        <w:t xml:space="preserve">No current requirement - monitor draft LPDP for future changes</w:t>
      </w:r>
    </w:p>
    <w:p>
      <w:pPr>
        <w:spacing w:after="80"/>
      </w:pPr>
      <w:r>
        <w:rPr>
          <w:b/>
          <w:bCs/>
        </w:rPr>
        <w:t xml:space="preserve">Expected Penalties: </w:t>
      </w:r>
      <w:r>
        <w:t xml:space="preserve">Up to $150,000 (600M Riels) for legal entities under draft law</w:t>
      </w:r>
    </w:p>
    <w:p>
      <w:pPr>
        <w:spacing w:after="80"/>
      </w:pPr>
      <w:r>
        <w:rPr>
          <w:b/>
          <w:bCs/>
        </w:rPr>
        <w:t xml:space="preserve">VPS Strategy: </w:t>
      </w:r>
      <w:r>
        <w:t xml:space="preserve">Uses Vietnam VPS (VNETWORK) - $0 additional, shared infrastructure</w:t>
      </w:r>
    </w:p>
    <w:p>
      <w:pPr>
        <w:spacing w:after="120"/>
      </w:pPr>
      <w:r>
        <w:t xml:space="preserve">⚠️ MONITORING REQUIRED: Draft LPDP may impose data residency requirements when enacted</w:t>
      </w:r>
    </w:p>
    <w:p>
      <w:pPr>
        <w:pStyle w:val="Heading2"/>
      </w:pPr>
      <w:r>
        <w:t xml:space="preserve">2.9 🇧🇳 Brunei - PDPO 2025</w:t>
      </w:r>
    </w:p>
    <w:p>
      <w:pPr>
        <w:spacing w:after="80"/>
      </w:pPr>
      <w:r>
        <w:rPr>
          <w:b/>
          <w:bCs/>
        </w:rPr>
        <w:t xml:space="preserve">Law: </w:t>
      </w:r>
      <w:r>
        <w:t xml:space="preserve">Personal Data Protection Order (PDPO) 2025 - enacted January 2025</w:t>
      </w:r>
    </w:p>
    <w:p>
      <w:pPr>
        <w:spacing w:after="80"/>
      </w:pPr>
      <w:r>
        <w:rPr>
          <w:b/>
          <w:bCs/>
        </w:rPr>
        <w:t xml:space="preserve">Authority: </w:t>
      </w:r>
      <w:r>
        <w:t xml:space="preserve">Authority for Info-communications Technology Industry of Brunei Darussalam (AITI)</w:t>
      </w:r>
    </w:p>
    <w:p>
      <w:pPr>
        <w:spacing w:after="80"/>
      </w:pPr>
      <w:r>
        <w:rPr>
          <w:b/>
          <w:bCs/>
        </w:rPr>
        <w:t xml:space="preserve">Implementation: </w:t>
      </w:r>
      <w:r>
        <w:t xml:space="preserve">Phased rollout with 1-year grace period for compliance</w:t>
      </w:r>
    </w:p>
    <w:p>
      <w:pPr>
        <w:spacing w:after="80"/>
      </w:pPr>
      <w:r>
        <w:rPr>
          <w:b/>
          <w:bCs/>
        </w:rPr>
        <w:t xml:space="preserve">Scope: </w:t>
      </w:r>
      <w:r>
        <w:t xml:space="preserve">Private sector organizations and NGOs (government has separate framework)</w:t>
      </w:r>
    </w:p>
    <w:p>
      <w:pPr>
        <w:spacing w:after="80"/>
      </w:pPr>
      <w:r>
        <w:rPr>
          <w:b/>
          <w:bCs/>
        </w:rPr>
        <w:t xml:space="preserve">Data Residency: </w:t>
      </w:r>
      <w:r>
        <w:t xml:space="preserve">No explicit local storage requirement</w:t>
      </w:r>
    </w:p>
    <w:p>
      <w:pPr>
        <w:spacing w:after="80"/>
      </w:pPr>
      <w:r>
        <w:rPr>
          <w:b/>
          <w:bCs/>
        </w:rPr>
        <w:t xml:space="preserve">Cross-Border Transfer: </w:t>
      </w:r>
      <w:r>
        <w:t xml:space="preserve">Requires ministry permission, appropriate safeguards, or specific circumstances</w:t>
      </w:r>
    </w:p>
    <w:p>
      <w:pPr>
        <w:spacing w:after="80"/>
      </w:pPr>
      <w:r>
        <w:rPr>
          <w:b/>
          <w:bCs/>
        </w:rPr>
        <w:t xml:space="preserve">DPO Requirement: </w:t>
      </w:r>
      <w:r>
        <w:t xml:space="preserve">MANDATORY for ALL data controllers/processors (stricter than GDPR)</w:t>
      </w:r>
    </w:p>
    <w:p>
      <w:pPr>
        <w:spacing w:after="80"/>
      </w:pPr>
      <w:r>
        <w:rPr>
          <w:b/>
          <w:bCs/>
        </w:rPr>
        <w:t xml:space="preserve">DPO Certification: </w:t>
      </w:r>
      <w:r>
        <w:t xml:space="preserve">Must be CIPM (Certified Information Privacy Manager) certified</w:t>
      </w:r>
    </w:p>
    <w:p>
      <w:pPr>
        <w:spacing w:after="80"/>
      </w:pPr>
      <w:r>
        <w:rPr>
          <w:b/>
          <w:bCs/>
        </w:rPr>
        <w:t xml:space="preserve">Penalties: </w:t>
      </w:r>
      <w:r>
        <w:t xml:space="preserve">Up to $150,000 BND + 10% annual turnover; criminal penalties also possible</w:t>
      </w:r>
    </w:p>
    <w:p>
      <w:pPr>
        <w:spacing w:after="80"/>
      </w:pPr>
      <w:r>
        <w:rPr>
          <w:b/>
          <w:bCs/>
        </w:rPr>
        <w:t xml:space="preserve">Key Requirements: </w:t>
      </w:r>
      <w:r>
        <w:t xml:space="preserve">Foreign entities must appoint local representative</w:t>
      </w:r>
    </w:p>
    <w:p>
      <w:pPr>
        <w:spacing w:after="80"/>
      </w:pPr>
      <w:r>
        <w:rPr>
          <w:b/>
          <w:bCs/>
        </w:rPr>
        <w:t xml:space="preserve">VPS Strategy: </w:t>
      </w:r>
      <w:r>
        <w:t xml:space="preserve">Uses Malaysia Hub ($0 additional) - Same language (Brunei Malay = Malaysia Malay)</w:t>
      </w:r>
    </w:p>
    <w:p>
      <w:pPr>
        <w:spacing w:after="120"/>
      </w:pPr>
      <w:r>
        <w:t xml:space="preserve">⚠️ COMPLIANCE ACTION: Ensure DPO appointment and CIPM certification before Brunei operations</w:t>
      </w:r>
    </w:p>
    <w:p>
      <w:r>
        <w:br w:type="page"/>
      </w:r>
    </w:p>
    <w:p>
      <w:pPr>
        <w:pStyle w:val="Heading1"/>
      </w:pPr>
      <w:r>
        <w:t xml:space="preserve">3. Social Security &amp; Statutory Contributions</w:t>
      </w:r>
    </w:p>
    <w:p>
      <w:pPr>
        <w:spacing w:after="120"/>
      </w:pPr>
      <w:r>
        <w:t xml:space="preserve">This section documents the mandatory social security systems, contribution rates, and salary caps for all 9 ASEAN countries.</w:t>
      </w:r>
    </w:p>
    <w:p>
      <w:pPr>
        <w:pStyle w:val="Heading2"/>
      </w:pPr>
      <w:r>
        <w:t xml:space="preserve">3.1 Complete Statutory Rates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300"/>
        <w:gridCol w:w="1100"/>
        <w:gridCol w:w="2560"/>
      </w:tblGrid>
      <w:tr>
        <w:trPr>
          <w:tblHeader/>
        </w:trPr>
        <w:tc>
          <w:tcPr>
            <w:tcW w:type="dxa" w:w="14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w:t>
            </w:r>
          </w:p>
        </w:tc>
        <w:tc>
          <w:tcPr>
            <w:tcW w:type="dxa" w:w="18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Employee</w:t>
            </w:r>
          </w:p>
        </w:tc>
        <w:tc>
          <w:tcPr>
            <w:tcW w:type="dxa" w:w="13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Employer</w:t>
            </w:r>
          </w:p>
        </w:tc>
        <w:tc>
          <w:tcPr>
            <w:tcW w:type="dxa" w:w="11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Total</w:t>
            </w:r>
          </w:p>
        </w:tc>
        <w:tc>
          <w:tcPr>
            <w:tcW w:type="dxa" w:w="25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Salary Cap</w:t>
            </w:r>
          </w:p>
        </w:tc>
      </w:tr>
      <w:tr>
        <w:tc>
          <w:tcPr>
            <w:tcW w:type="dxa" w:w="1400"/>
            <w:tcBorders>
              <w:top w:val="single" w:color="CCCCCC" w:sz="1"/>
              <w:left w:val="single" w:color="CCCCCC" w:sz="1"/>
              <w:bottom w:val="single" w:color="CCCCCC" w:sz="1"/>
              <w:right w:val="single" w:color="CCCCCC" w:sz="1"/>
            </w:tcBorders>
          </w:tcPr>
          <w:p>
            <w:pPr>
              <w:spacing w:before="40" w:after="40"/>
            </w:pPr>
            <w:r>
              <w:rPr>
                <w:sz w:val="20"/>
                <w:szCs w:val="20"/>
              </w:rPr>
              <w:t xml:space="preserve">🇲🇾 Malaysia</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EPF+SOCSO+EIS</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11.7%</w:t>
            </w:r>
          </w:p>
        </w:tc>
        <w:tc>
          <w:tcPr>
            <w:tcW w:type="dxa" w:w="1300"/>
            <w:tcBorders>
              <w:top w:val="single" w:color="CCCCCC" w:sz="1"/>
              <w:left w:val="single" w:color="CCCCCC" w:sz="1"/>
              <w:bottom w:val="single" w:color="CCCCCC" w:sz="1"/>
              <w:right w:val="single" w:color="CCCCCC" w:sz="1"/>
            </w:tcBorders>
          </w:tcPr>
          <w:p>
            <w:pPr>
              <w:spacing w:before="40" w:after="40"/>
            </w:pPr>
            <w:r>
              <w:rPr>
                <w:sz w:val="20"/>
                <w:szCs w:val="20"/>
              </w:rPr>
              <w:t xml:space="preserve">13.45-14.45%</w:t>
            </w:r>
          </w:p>
        </w:tc>
        <w:tc>
          <w:tcPr>
            <w:tcW w:type="dxa" w:w="1100"/>
            <w:tcBorders>
              <w:top w:val="single" w:color="CCCCCC" w:sz="1"/>
              <w:left w:val="single" w:color="CCCCCC" w:sz="1"/>
              <w:bottom w:val="single" w:color="CCCCCC" w:sz="1"/>
              <w:right w:val="single" w:color="CCCCCC" w:sz="1"/>
            </w:tcBorders>
          </w:tcPr>
          <w:p>
            <w:pPr>
              <w:spacing w:before="40" w:after="40"/>
            </w:pPr>
            <w:r>
              <w:rPr>
                <w:sz w:val="20"/>
                <w:szCs w:val="20"/>
              </w:rPr>
              <w:t xml:space="preserve">25.15-26.15%</w:t>
            </w:r>
          </w:p>
        </w:tc>
        <w:tc>
          <w:tcPr>
            <w:tcW w:type="dxa" w:w="2560"/>
            <w:tcBorders>
              <w:top w:val="single" w:color="CCCCCC" w:sz="1"/>
              <w:left w:val="single" w:color="CCCCCC" w:sz="1"/>
              <w:bottom w:val="single" w:color="CCCCCC" w:sz="1"/>
              <w:right w:val="single" w:color="CCCCCC" w:sz="1"/>
            </w:tcBorders>
          </w:tcPr>
          <w:p>
            <w:pPr>
              <w:spacing w:before="40" w:after="40"/>
            </w:pPr>
            <w:r>
              <w:rPr>
                <w:sz w:val="20"/>
                <w:szCs w:val="20"/>
              </w:rPr>
              <w:t xml:space="preserve">RM 5,000 (SOCSO)</w:t>
            </w:r>
          </w:p>
        </w:tc>
      </w:tr>
      <w:tr>
        <w:tc>
          <w:tcPr>
            <w:tcW w:type="dxa" w:w="14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Singapore</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CPF</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w:t>
            </w:r>
          </w:p>
        </w:tc>
        <w:tc>
          <w:tcPr>
            <w:tcW w:type="dxa" w:w="1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17%</w:t>
            </w:r>
          </w:p>
        </w:tc>
        <w:tc>
          <w:tcPr>
            <w:tcW w:type="dxa" w:w="11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37%</w:t>
            </w:r>
          </w:p>
        </w:tc>
        <w:tc>
          <w:tcPr>
            <w:tcW w:type="dxa" w:w="25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SGD 6,800</w:t>
            </w:r>
          </w:p>
        </w:tc>
      </w:tr>
      <w:tr>
        <w:tc>
          <w:tcPr>
            <w:tcW w:type="dxa" w:w="1400"/>
            <w:tcBorders>
              <w:top w:val="single" w:color="CCCCCC" w:sz="1"/>
              <w:left w:val="single" w:color="CCCCCC" w:sz="1"/>
              <w:bottom w:val="single" w:color="CCCCCC" w:sz="1"/>
              <w:right w:val="single" w:color="CCCCCC" w:sz="1"/>
            </w:tcBorders>
          </w:tcPr>
          <w:p>
            <w:pPr>
              <w:spacing w:before="40" w:after="40"/>
            </w:pPr>
            <w:r>
              <w:rPr>
                <w:sz w:val="20"/>
                <w:szCs w:val="20"/>
              </w:rPr>
              <w:t xml:space="preserve">🇮🇩 Indonesia</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BPJS TK+Kes</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3%</w:t>
            </w:r>
          </w:p>
        </w:tc>
        <w:tc>
          <w:tcPr>
            <w:tcW w:type="dxa" w:w="1300"/>
            <w:tcBorders>
              <w:top w:val="single" w:color="CCCCCC" w:sz="1"/>
              <w:left w:val="single" w:color="CCCCCC" w:sz="1"/>
              <w:bottom w:val="single" w:color="CCCCCC" w:sz="1"/>
              <w:right w:val="single" w:color="CCCCCC" w:sz="1"/>
            </w:tcBorders>
          </w:tcPr>
          <w:p>
            <w:pPr>
              <w:spacing w:before="40" w:after="40"/>
            </w:pPr>
            <w:r>
              <w:rPr>
                <w:sz w:val="20"/>
                <w:szCs w:val="20"/>
              </w:rPr>
              <w:t xml:space="preserve">7.7%</w:t>
            </w:r>
          </w:p>
        </w:tc>
        <w:tc>
          <w:tcPr>
            <w:tcW w:type="dxa" w:w="1100"/>
            <w:tcBorders>
              <w:top w:val="single" w:color="CCCCCC" w:sz="1"/>
              <w:left w:val="single" w:color="CCCCCC" w:sz="1"/>
              <w:bottom w:val="single" w:color="CCCCCC" w:sz="1"/>
              <w:right w:val="single" w:color="CCCCCC" w:sz="1"/>
            </w:tcBorders>
          </w:tcPr>
          <w:p>
            <w:pPr>
              <w:spacing w:before="40" w:after="40"/>
            </w:pPr>
            <w:r>
              <w:rPr>
                <w:sz w:val="20"/>
                <w:szCs w:val="20"/>
              </w:rPr>
              <w:t xml:space="preserve">10.7%</w:t>
            </w:r>
          </w:p>
        </w:tc>
        <w:tc>
          <w:tcPr>
            <w:tcW w:type="dxa" w:w="2560"/>
            <w:tcBorders>
              <w:top w:val="single" w:color="CCCCCC" w:sz="1"/>
              <w:left w:val="single" w:color="CCCCCC" w:sz="1"/>
              <w:bottom w:val="single" w:color="CCCCCC" w:sz="1"/>
              <w:right w:val="single" w:color="CCCCCC" w:sz="1"/>
            </w:tcBorders>
          </w:tcPr>
          <w:p>
            <w:pPr>
              <w:spacing w:before="40" w:after="40"/>
            </w:pPr>
            <w:r>
              <w:rPr>
                <w:sz w:val="20"/>
                <w:szCs w:val="20"/>
              </w:rPr>
              <w:t xml:space="preserve">Various caps</w:t>
            </w:r>
          </w:p>
        </w:tc>
      </w:tr>
      <w:tr>
        <w:tc>
          <w:tcPr>
            <w:tcW w:type="dxa" w:w="14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Thailand</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SSF</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5%</w:t>
            </w:r>
          </w:p>
        </w:tc>
        <w:tc>
          <w:tcPr>
            <w:tcW w:type="dxa" w:w="1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5%</w:t>
            </w:r>
          </w:p>
        </w:tc>
        <w:tc>
          <w:tcPr>
            <w:tcW w:type="dxa" w:w="11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10%</w:t>
            </w:r>
          </w:p>
        </w:tc>
        <w:tc>
          <w:tcPr>
            <w:tcW w:type="dxa" w:w="25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THB 15,000</w:t>
            </w:r>
          </w:p>
        </w:tc>
      </w:tr>
      <w:tr>
        <w:tc>
          <w:tcPr>
            <w:tcW w:type="dxa" w:w="1400"/>
            <w:tcBorders>
              <w:top w:val="single" w:color="CCCCCC" w:sz="1"/>
              <w:left w:val="single" w:color="CCCCCC" w:sz="1"/>
              <w:bottom w:val="single" w:color="CCCCCC" w:sz="1"/>
              <w:right w:val="single" w:color="CCCCCC" w:sz="1"/>
            </w:tcBorders>
          </w:tcPr>
          <w:p>
            <w:pPr>
              <w:spacing w:before="40" w:after="40"/>
            </w:pPr>
            <w:r>
              <w:rPr>
                <w:sz w:val="20"/>
                <w:szCs w:val="20"/>
              </w:rPr>
              <w:t xml:space="preserve">🇻🇳 Vietnam</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SI+HI+UI</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10.5%</w:t>
            </w:r>
          </w:p>
        </w:tc>
        <w:tc>
          <w:tcPr>
            <w:tcW w:type="dxa" w:w="1300"/>
            <w:tcBorders>
              <w:top w:val="single" w:color="CCCCCC" w:sz="1"/>
              <w:left w:val="single" w:color="CCCCCC" w:sz="1"/>
              <w:bottom w:val="single" w:color="CCCCCC" w:sz="1"/>
              <w:right w:val="single" w:color="CCCCCC" w:sz="1"/>
            </w:tcBorders>
          </w:tcPr>
          <w:p>
            <w:pPr>
              <w:spacing w:before="40" w:after="40"/>
            </w:pPr>
            <w:r>
              <w:rPr>
                <w:sz w:val="20"/>
                <w:szCs w:val="20"/>
              </w:rPr>
              <w:t xml:space="preserve">21.5%</w:t>
            </w:r>
          </w:p>
        </w:tc>
        <w:tc>
          <w:tcPr>
            <w:tcW w:type="dxa" w:w="1100"/>
            <w:tcBorders>
              <w:top w:val="single" w:color="CCCCCC" w:sz="1"/>
              <w:left w:val="single" w:color="CCCCCC" w:sz="1"/>
              <w:bottom w:val="single" w:color="CCCCCC" w:sz="1"/>
              <w:right w:val="single" w:color="CCCCCC" w:sz="1"/>
            </w:tcBorders>
          </w:tcPr>
          <w:p>
            <w:pPr>
              <w:spacing w:before="40" w:after="40"/>
            </w:pPr>
            <w:r>
              <w:rPr>
                <w:sz w:val="20"/>
                <w:szCs w:val="20"/>
              </w:rPr>
              <w:t xml:space="preserve">32%</w:t>
            </w:r>
          </w:p>
        </w:tc>
        <w:tc>
          <w:tcPr>
            <w:tcW w:type="dxa" w:w="2560"/>
            <w:tcBorders>
              <w:top w:val="single" w:color="CCCCCC" w:sz="1"/>
              <w:left w:val="single" w:color="CCCCCC" w:sz="1"/>
              <w:bottom w:val="single" w:color="CCCCCC" w:sz="1"/>
              <w:right w:val="single" w:color="CCCCCC" w:sz="1"/>
            </w:tcBorders>
          </w:tcPr>
          <w:p>
            <w:pPr>
              <w:spacing w:before="40" w:after="40"/>
            </w:pPr>
            <w:r>
              <w:rPr>
                <w:sz w:val="20"/>
                <w:szCs w:val="20"/>
              </w:rPr>
              <w:t xml:space="preserve">20x min wage</w:t>
            </w:r>
          </w:p>
        </w:tc>
      </w:tr>
      <w:tr>
        <w:tc>
          <w:tcPr>
            <w:tcW w:type="dxa" w:w="14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Philippines</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SSS+Phil+HDMF</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~4.5%</w:t>
            </w:r>
          </w:p>
        </w:tc>
        <w:tc>
          <w:tcPr>
            <w:tcW w:type="dxa" w:w="1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~9%</w:t>
            </w:r>
          </w:p>
        </w:tc>
        <w:tc>
          <w:tcPr>
            <w:tcW w:type="dxa" w:w="11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~13.5%</w:t>
            </w:r>
          </w:p>
        </w:tc>
        <w:tc>
          <w:tcPr>
            <w:tcW w:type="dxa" w:w="25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Various caps</w:t>
            </w:r>
          </w:p>
        </w:tc>
      </w:tr>
      <w:tr>
        <w:tc>
          <w:tcPr>
            <w:tcW w:type="dxa" w:w="1400"/>
            <w:tcBorders>
              <w:top w:val="single" w:color="CCCCCC" w:sz="1"/>
              <w:left w:val="single" w:color="CCCCCC" w:sz="1"/>
              <w:bottom w:val="single" w:color="CCCCCC" w:sz="1"/>
              <w:right w:val="single" w:color="CCCCCC" w:sz="1"/>
            </w:tcBorders>
          </w:tcPr>
          <w:p>
            <w:pPr>
              <w:spacing w:before="40" w:after="40"/>
            </w:pPr>
            <w:r>
              <w:rPr>
                <w:sz w:val="20"/>
                <w:szCs w:val="20"/>
              </w:rPr>
              <w:t xml:space="preserve">🇱🇦 Laos</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LSSO (SSO)</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4.5%</w:t>
            </w:r>
          </w:p>
        </w:tc>
        <w:tc>
          <w:tcPr>
            <w:tcW w:type="dxa" w:w="1300"/>
            <w:tcBorders>
              <w:top w:val="single" w:color="CCCCCC" w:sz="1"/>
              <w:left w:val="single" w:color="CCCCCC" w:sz="1"/>
              <w:bottom w:val="single" w:color="CCCCCC" w:sz="1"/>
              <w:right w:val="single" w:color="CCCCCC" w:sz="1"/>
            </w:tcBorders>
          </w:tcPr>
          <w:p>
            <w:pPr>
              <w:spacing w:before="40" w:after="40"/>
            </w:pPr>
            <w:r>
              <w:rPr>
                <w:sz w:val="20"/>
                <w:szCs w:val="20"/>
              </w:rPr>
              <w:t xml:space="preserve">5%</w:t>
            </w:r>
          </w:p>
        </w:tc>
        <w:tc>
          <w:tcPr>
            <w:tcW w:type="dxa" w:w="1100"/>
            <w:tcBorders>
              <w:top w:val="single" w:color="CCCCCC" w:sz="1"/>
              <w:left w:val="single" w:color="CCCCCC" w:sz="1"/>
              <w:bottom w:val="single" w:color="CCCCCC" w:sz="1"/>
              <w:right w:val="single" w:color="CCCCCC" w:sz="1"/>
            </w:tcBorders>
          </w:tcPr>
          <w:p>
            <w:pPr>
              <w:spacing w:before="40" w:after="40"/>
            </w:pPr>
            <w:r>
              <w:rPr>
                <w:sz w:val="20"/>
                <w:szCs w:val="20"/>
              </w:rPr>
              <w:t xml:space="preserve">9.5%</w:t>
            </w:r>
          </w:p>
        </w:tc>
        <w:tc>
          <w:tcPr>
            <w:tcW w:type="dxa" w:w="2560"/>
            <w:tcBorders>
              <w:top w:val="single" w:color="CCCCCC" w:sz="1"/>
              <w:left w:val="single" w:color="CCCCCC" w:sz="1"/>
              <w:bottom w:val="single" w:color="CCCCCC" w:sz="1"/>
              <w:right w:val="single" w:color="CCCCCC" w:sz="1"/>
            </w:tcBorders>
          </w:tcPr>
          <w:p>
            <w:pPr>
              <w:spacing w:before="40" w:after="40"/>
            </w:pPr>
            <w:r>
              <w:rPr>
                <w:sz w:val="20"/>
                <w:szCs w:val="20"/>
              </w:rPr>
              <w:t xml:space="preserve">LAK 4,500,000</w:t>
            </w:r>
          </w:p>
        </w:tc>
      </w:tr>
      <w:tr>
        <w:tc>
          <w:tcPr>
            <w:tcW w:type="dxa" w:w="14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Cambodia</w:t>
            </w:r>
          </w:p>
        </w:tc>
        <w:tc>
          <w:tcPr>
            <w:tcW w:type="dxa" w:w="18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NSSF</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w:t>
            </w:r>
          </w:p>
        </w:tc>
        <w:tc>
          <w:tcPr>
            <w:tcW w:type="dxa" w:w="1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5.4%</w:t>
            </w:r>
          </w:p>
        </w:tc>
        <w:tc>
          <w:tcPr>
            <w:tcW w:type="dxa" w:w="11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7.4%</w:t>
            </w:r>
          </w:p>
        </w:tc>
        <w:tc>
          <w:tcPr>
            <w:tcW w:type="dxa" w:w="25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KHR 1,200,000</w:t>
            </w:r>
          </w:p>
        </w:tc>
      </w:tr>
      <w:tr>
        <w:tc>
          <w:tcPr>
            <w:tcW w:type="dxa" w:w="1400"/>
            <w:tcBorders>
              <w:top w:val="single" w:color="CCCCCC" w:sz="1"/>
              <w:left w:val="single" w:color="CCCCCC" w:sz="1"/>
              <w:bottom w:val="single" w:color="CCCCCC" w:sz="1"/>
              <w:right w:val="single" w:color="CCCCCC" w:sz="1"/>
            </w:tcBorders>
          </w:tcPr>
          <w:p>
            <w:pPr>
              <w:spacing w:before="40" w:after="40"/>
            </w:pPr>
            <w:r>
              <w:rPr>
                <w:sz w:val="20"/>
                <w:szCs w:val="20"/>
              </w:rPr>
              <w:t xml:space="preserve">🇧🇳 Brunei</w:t>
            </w:r>
          </w:p>
        </w:tc>
        <w:tc>
          <w:tcPr>
            <w:tcW w:type="dxa" w:w="1800"/>
            <w:tcBorders>
              <w:top w:val="single" w:color="CCCCCC" w:sz="1"/>
              <w:left w:val="single" w:color="CCCCCC" w:sz="1"/>
              <w:bottom w:val="single" w:color="CCCCCC" w:sz="1"/>
              <w:right w:val="single" w:color="CCCCCC" w:sz="1"/>
            </w:tcBorders>
          </w:tcPr>
          <w:p>
            <w:pPr>
              <w:spacing w:before="40" w:after="40"/>
            </w:pPr>
            <w:r>
              <w:rPr>
                <w:sz w:val="20"/>
                <w:szCs w:val="20"/>
              </w:rPr>
              <w:t xml:space="preserve">SPK</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8.5%</w:t>
            </w:r>
          </w:p>
        </w:tc>
        <w:tc>
          <w:tcPr>
            <w:tcW w:type="dxa" w:w="1300"/>
            <w:tcBorders>
              <w:top w:val="single" w:color="CCCCCC" w:sz="1"/>
              <w:left w:val="single" w:color="CCCCCC" w:sz="1"/>
              <w:bottom w:val="single" w:color="CCCCCC" w:sz="1"/>
              <w:right w:val="single" w:color="CCCCCC" w:sz="1"/>
            </w:tcBorders>
          </w:tcPr>
          <w:p>
            <w:pPr>
              <w:spacing w:before="40" w:after="40"/>
            </w:pPr>
            <w:r>
              <w:rPr>
                <w:sz w:val="20"/>
                <w:szCs w:val="20"/>
              </w:rPr>
              <w:t xml:space="preserve">8.5%</w:t>
            </w:r>
          </w:p>
        </w:tc>
        <w:tc>
          <w:tcPr>
            <w:tcW w:type="dxa" w:w="1100"/>
            <w:tcBorders>
              <w:top w:val="single" w:color="CCCCCC" w:sz="1"/>
              <w:left w:val="single" w:color="CCCCCC" w:sz="1"/>
              <w:bottom w:val="single" w:color="CCCCCC" w:sz="1"/>
              <w:right w:val="single" w:color="CCCCCC" w:sz="1"/>
            </w:tcBorders>
          </w:tcPr>
          <w:p>
            <w:pPr>
              <w:spacing w:before="40" w:after="40"/>
            </w:pPr>
            <w:r>
              <w:rPr>
                <w:sz w:val="20"/>
                <w:szCs w:val="20"/>
              </w:rPr>
              <w:t xml:space="preserve">17%</w:t>
            </w:r>
          </w:p>
        </w:tc>
        <w:tc>
          <w:tcPr>
            <w:tcW w:type="dxa" w:w="2560"/>
            <w:tcBorders>
              <w:top w:val="single" w:color="CCCCCC" w:sz="1"/>
              <w:left w:val="single" w:color="CCCCCC" w:sz="1"/>
              <w:bottom w:val="single" w:color="CCCCCC" w:sz="1"/>
              <w:right w:val="single" w:color="CCCCCC" w:sz="1"/>
            </w:tcBorders>
          </w:tcPr>
          <w:p>
            <w:pPr>
              <w:spacing w:before="40" w:after="40"/>
            </w:pPr>
            <w:r>
              <w:rPr>
                <w:sz w:val="20"/>
                <w:szCs w:val="20"/>
              </w:rPr>
              <w:t xml:space="preserve">No cap</w:t>
            </w:r>
          </w:p>
        </w:tc>
      </w:tr>
    </w:tbl>
    <w:p>
      <w:pPr>
        <w:spacing w:after="120"/>
      </w:pPr>
      <w:r>
        <w:t xml:space="preserve"/>
      </w:r>
    </w:p>
    <w:p>
      <w:pPr>
        <w:pStyle w:val="Heading2"/>
      </w:pPr>
      <w:r>
        <w:t xml:space="preserve">3.2 🇲🇾 Malaysia - EPF, SOCSO, EIS</w:t>
      </w:r>
    </w:p>
    <w:p>
      <w:pPr>
        <w:pStyle w:val="Heading3"/>
      </w:pPr>
      <w:r>
        <w:t xml:space="preserve">EPF (KWSP - Kumpulan Wang Simpanan Pekerja)</w:t>
      </w:r>
    </w:p>
    <w:p>
      <w:pPr>
        <w:spacing w:after="80"/>
      </w:pPr>
      <w:r>
        <w:rPr>
          <w:b/>
          <w:bCs/>
        </w:rPr>
        <w:t xml:space="preserve">Employee Contribution: </w:t>
      </w:r>
      <w:r>
        <w:t xml:space="preserve">11% of monthly wages</w:t>
      </w:r>
    </w:p>
    <w:p>
      <w:pPr>
        <w:spacing w:after="80"/>
      </w:pPr>
      <w:r>
        <w:rPr>
          <w:b/>
          <w:bCs/>
        </w:rPr>
        <w:t xml:space="preserve">Employer Contribution: </w:t>
      </w:r>
      <w:r>
        <w:t xml:space="preserve">12% (wages ≤RM 5,000) or 13% (wages &gt; RM 5,000)</w:t>
      </w:r>
    </w:p>
    <w:p>
      <w:pPr>
        <w:spacing w:after="80"/>
      </w:pPr>
      <w:r>
        <w:rPr>
          <w:b/>
          <w:bCs/>
        </w:rPr>
        <w:t xml:space="preserve">Salary Cap: </w:t>
      </w:r>
      <w:r>
        <w:t xml:space="preserve">No cap for EPF</w:t>
      </w:r>
    </w:p>
    <w:p>
      <w:pPr>
        <w:pStyle w:val="Heading3"/>
      </w:pPr>
      <w:r>
        <w:t xml:space="preserve">SOCSO (PERKESO - Pertubuhan Keselamatan Sosial)</w:t>
      </w:r>
    </w:p>
    <w:p>
      <w:pPr>
        <w:spacing w:after="80"/>
      </w:pPr>
      <w:r>
        <w:rPr>
          <w:b/>
          <w:bCs/>
        </w:rPr>
        <w:t xml:space="preserve">Employment Injury Scheme: </w:t>
      </w:r>
      <w:r>
        <w:t xml:space="preserve">Employer only - 1.25% (capped at RM 5,000)</w:t>
      </w:r>
    </w:p>
    <w:p>
      <w:pPr>
        <w:spacing w:after="80"/>
      </w:pPr>
      <w:r>
        <w:rPr>
          <w:b/>
          <w:bCs/>
        </w:rPr>
        <w:t xml:space="preserve">Invalidity Scheme: </w:t>
      </w:r>
      <w:r>
        <w:t xml:space="preserve">Employee 0.5% + Employer 0.5% (capped at RM 5,000)</w:t>
      </w:r>
    </w:p>
    <w:p>
      <w:pPr>
        <w:spacing w:after="80"/>
      </w:pPr>
      <w:r>
        <w:rPr>
          <w:b/>
          <w:bCs/>
        </w:rPr>
        <w:t xml:space="preserve">Salary Cap: </w:t>
      </w:r>
      <w:r>
        <w:t xml:space="preserve">RM 5,000/month</w:t>
      </w:r>
    </w:p>
    <w:p>
      <w:pPr>
        <w:pStyle w:val="Heading3"/>
      </w:pPr>
      <w:r>
        <w:t xml:space="preserve">EIS (Employment Insurance System)</w:t>
      </w:r>
    </w:p>
    <w:p>
      <w:pPr>
        <w:spacing w:after="80"/>
      </w:pPr>
      <w:r>
        <w:rPr>
          <w:b/>
          <w:bCs/>
        </w:rPr>
        <w:t xml:space="preserve">Employee Contribution: </w:t>
      </w:r>
      <w:r>
        <w:t xml:space="preserve">0.2%</w:t>
      </w:r>
    </w:p>
    <w:p>
      <w:pPr>
        <w:spacing w:after="80"/>
      </w:pPr>
      <w:r>
        <w:rPr>
          <w:b/>
          <w:bCs/>
        </w:rPr>
        <w:t xml:space="preserve">Employer Contribution: </w:t>
      </w:r>
      <w:r>
        <w:t xml:space="preserve">0.2%</w:t>
      </w:r>
    </w:p>
    <w:p>
      <w:pPr>
        <w:spacing w:after="80"/>
      </w:pPr>
      <w:r>
        <w:rPr>
          <w:b/>
          <w:bCs/>
        </w:rPr>
        <w:t xml:space="preserve">Salary Cap: </w:t>
      </w:r>
      <w:r>
        <w:t xml:space="preserve">RM 5,000/month</w:t>
      </w:r>
    </w:p>
    <w:p>
      <w:pPr>
        <w:pStyle w:val="Heading2"/>
      </w:pPr>
      <w:r>
        <w:t xml:space="preserve">3.3 🇸🇬 Singapore - CPF</w:t>
      </w:r>
    </w:p>
    <w:p>
      <w:pPr>
        <w:spacing w:after="80"/>
      </w:pPr>
      <w:r>
        <w:rPr>
          <w:b/>
          <w:bCs/>
        </w:rPr>
        <w:t xml:space="preserve">System: </w:t>
      </w:r>
      <w:r>
        <w:t xml:space="preserve">Central Provident Fund (CPF)</w:t>
      </w:r>
    </w:p>
    <w:p>
      <w:pPr>
        <w:spacing w:after="80"/>
      </w:pPr>
      <w:r>
        <w:rPr>
          <w:b/>
          <w:bCs/>
        </w:rPr>
        <w:t xml:space="preserve">Employee Contribution: </w:t>
      </w:r>
      <w:r>
        <w:t xml:space="preserve">20% (age ≤55), reduced rates for older workers</w:t>
      </w:r>
    </w:p>
    <w:p>
      <w:pPr>
        <w:spacing w:after="80"/>
      </w:pPr>
      <w:r>
        <w:rPr>
          <w:b/>
          <w:bCs/>
        </w:rPr>
        <w:t xml:space="preserve">Employer Contribution: </w:t>
      </w:r>
      <w:r>
        <w:t xml:space="preserve">17% (age ≤55), reduced rates for older workers</w:t>
      </w:r>
    </w:p>
    <w:p>
      <w:pPr>
        <w:spacing w:after="80"/>
      </w:pPr>
      <w:r>
        <w:rPr>
          <w:b/>
          <w:bCs/>
        </w:rPr>
        <w:t xml:space="preserve">Salary Cap: </w:t>
      </w:r>
      <w:r>
        <w:t xml:space="preserve">SGD 6,800/month ordinary wages</w:t>
      </w:r>
    </w:p>
    <w:p>
      <w:pPr>
        <w:spacing w:after="80"/>
      </w:pPr>
      <w:r>
        <w:rPr>
          <w:b/>
          <w:bCs/>
        </w:rPr>
        <w:t xml:space="preserve">Allocation: </w:t>
      </w:r>
      <w:r>
        <w:t xml:space="preserve">Ordinary Account 23%, Special Account 6%, Medisave 8%</w:t>
      </w:r>
    </w:p>
    <w:p>
      <w:pPr>
        <w:pStyle w:val="Heading2"/>
      </w:pPr>
      <w:r>
        <w:t xml:space="preserve">3.4 🇮🇩 Indonesia - BPJS</w:t>
      </w:r>
    </w:p>
    <w:p>
      <w:pPr>
        <w:pStyle w:val="Heading3"/>
      </w:pPr>
      <w:r>
        <w:t xml:space="preserve">BPJS Ketenagakerjaan (Employment)</w:t>
      </w:r>
    </w:p>
    <w:p>
      <w:pPr>
        <w:spacing w:after="80"/>
      </w:pPr>
      <w:r>
        <w:rPr>
          <w:b/>
          <w:bCs/>
        </w:rPr>
        <w:t xml:space="preserve">JKK (Work Accident): </w:t>
      </w:r>
      <w:r>
        <w:t xml:space="preserve">Employer 0.24-1.74% based on risk</w:t>
      </w:r>
    </w:p>
    <w:p>
      <w:pPr>
        <w:spacing w:after="80"/>
      </w:pPr>
      <w:r>
        <w:rPr>
          <w:b/>
          <w:bCs/>
        </w:rPr>
        <w:t xml:space="preserve">JKM (Death): </w:t>
      </w:r>
      <w:r>
        <w:t xml:space="preserve">Employer 0.3%</w:t>
      </w:r>
    </w:p>
    <w:p>
      <w:pPr>
        <w:spacing w:after="80"/>
      </w:pPr>
      <w:r>
        <w:rPr>
          <w:b/>
          <w:bCs/>
        </w:rPr>
        <w:t xml:space="preserve">JHT (Old Age): </w:t>
      </w:r>
      <w:r>
        <w:t xml:space="preserve">Employee 2% + Employer 3.7%</w:t>
      </w:r>
    </w:p>
    <w:p>
      <w:pPr>
        <w:spacing w:after="80"/>
      </w:pPr>
      <w:r>
        <w:rPr>
          <w:b/>
          <w:bCs/>
        </w:rPr>
        <w:t xml:space="preserve">JP (Pension): </w:t>
      </w:r>
      <w:r>
        <w:t xml:space="preserve">Employee 1% + Employer 2%</w:t>
      </w:r>
    </w:p>
    <w:p>
      <w:pPr>
        <w:pStyle w:val="Heading3"/>
      </w:pPr>
      <w:r>
        <w:t xml:space="preserve">BPJS Kesehatan (Health)</w:t>
      </w:r>
    </w:p>
    <w:p>
      <w:pPr>
        <w:spacing w:after="80"/>
      </w:pPr>
      <w:r>
        <w:rPr>
          <w:b/>
          <w:bCs/>
        </w:rPr>
        <w:t xml:space="preserve">Health Insurance: </w:t>
      </w:r>
      <w:r>
        <w:t xml:space="preserve">Employee 1% + Employer 4%</w:t>
      </w:r>
    </w:p>
    <w:p>
      <w:pPr>
        <w:spacing w:after="80"/>
      </w:pPr>
      <w:r>
        <w:rPr>
          <w:b/>
          <w:bCs/>
        </w:rPr>
        <w:t xml:space="preserve">Salary Cap: </w:t>
      </w:r>
      <w:r>
        <w:t xml:space="preserve">IDR 12,000,000/month</w:t>
      </w:r>
    </w:p>
    <w:p>
      <w:pPr>
        <w:pStyle w:val="Heading2"/>
      </w:pPr>
      <w:r>
        <w:t xml:space="preserve">3.5 🇹🇭 Thailand - SSF</w:t>
      </w:r>
    </w:p>
    <w:p>
      <w:pPr>
        <w:spacing w:after="80"/>
      </w:pPr>
      <w:r>
        <w:rPr>
          <w:b/>
          <w:bCs/>
        </w:rPr>
        <w:t xml:space="preserve">System: </w:t>
      </w:r>
      <w:r>
        <w:t xml:space="preserve">Social Security Fund (SSF)</w:t>
      </w:r>
    </w:p>
    <w:p>
      <w:pPr>
        <w:spacing w:after="80"/>
      </w:pPr>
      <w:r>
        <w:rPr>
          <w:b/>
          <w:bCs/>
        </w:rPr>
        <w:t xml:space="preserve">Employee Contribution: </w:t>
      </w:r>
      <w:r>
        <w:t xml:space="preserve">5%</w:t>
      </w:r>
    </w:p>
    <w:p>
      <w:pPr>
        <w:spacing w:after="80"/>
      </w:pPr>
      <w:r>
        <w:rPr>
          <w:b/>
          <w:bCs/>
        </w:rPr>
        <w:t xml:space="preserve">Employer Contribution: </w:t>
      </w:r>
      <w:r>
        <w:t xml:space="preserve">5%</w:t>
      </w:r>
    </w:p>
    <w:p>
      <w:pPr>
        <w:spacing w:after="80"/>
      </w:pPr>
      <w:r>
        <w:rPr>
          <w:b/>
          <w:bCs/>
        </w:rPr>
        <w:t xml:space="preserve">Government Contribution: </w:t>
      </w:r>
      <w:r>
        <w:t xml:space="preserve">2.75%</w:t>
      </w:r>
    </w:p>
    <w:p>
      <w:pPr>
        <w:spacing w:after="80"/>
      </w:pPr>
      <w:r>
        <w:rPr>
          <w:b/>
          <w:bCs/>
        </w:rPr>
        <w:t xml:space="preserve">Salary Cap: </w:t>
      </w:r>
      <w:r>
        <w:t xml:space="preserve">THB 15,000/month</w:t>
      </w:r>
    </w:p>
    <w:p>
      <w:pPr>
        <w:spacing w:after="80"/>
      </w:pPr>
      <w:r>
        <w:rPr>
          <w:b/>
          <w:bCs/>
        </w:rPr>
        <w:t xml:space="preserve">Coverage: </w:t>
      </w:r>
      <w:r>
        <w:t xml:space="preserve">Sickness, maternity, disability, death, child allowance, old-age, unemployment</w:t>
      </w:r>
    </w:p>
    <w:p>
      <w:pPr>
        <w:pStyle w:val="Heading2"/>
      </w:pPr>
      <w:r>
        <w:t xml:space="preserve">3.6 🇻🇳 Vietnam - SI, HI, UI</w:t>
      </w:r>
    </w:p>
    <w:p>
      <w:pPr>
        <w:pStyle w:val="Heading3"/>
      </w:pPr>
      <w:r>
        <w:t xml:space="preserve">Social Insurance (SI)</w:t>
      </w:r>
    </w:p>
    <w:p>
      <w:pPr>
        <w:spacing w:after="80"/>
      </w:pPr>
      <w:r>
        <w:rPr>
          <w:b/>
          <w:bCs/>
        </w:rPr>
        <w:t xml:space="preserve">Employee: </w:t>
      </w:r>
      <w:r>
        <w:t xml:space="preserve">8%</w:t>
      </w:r>
    </w:p>
    <w:p>
      <w:pPr>
        <w:spacing w:after="80"/>
      </w:pPr>
      <w:r>
        <w:rPr>
          <w:b/>
          <w:bCs/>
        </w:rPr>
        <w:t xml:space="preserve">Employer: </w:t>
      </w:r>
      <w:r>
        <w:t xml:space="preserve">17.5%</w:t>
      </w:r>
    </w:p>
    <w:p>
      <w:pPr>
        <w:pStyle w:val="Heading3"/>
      </w:pPr>
      <w:r>
        <w:t xml:space="preserve">Health Insurance (HI)</w:t>
      </w:r>
    </w:p>
    <w:p>
      <w:pPr>
        <w:spacing w:after="80"/>
      </w:pPr>
      <w:r>
        <w:rPr>
          <w:b/>
          <w:bCs/>
        </w:rPr>
        <w:t xml:space="preserve">Employee: </w:t>
      </w:r>
      <w:r>
        <w:t xml:space="preserve">1.5%</w:t>
      </w:r>
    </w:p>
    <w:p>
      <w:pPr>
        <w:spacing w:after="80"/>
      </w:pPr>
      <w:r>
        <w:rPr>
          <w:b/>
          <w:bCs/>
        </w:rPr>
        <w:t xml:space="preserve">Employer: </w:t>
      </w:r>
      <w:r>
        <w:t xml:space="preserve">3%</w:t>
      </w:r>
    </w:p>
    <w:p>
      <w:pPr>
        <w:pStyle w:val="Heading3"/>
      </w:pPr>
      <w:r>
        <w:t xml:space="preserve">Unemployment Insurance (UI)</w:t>
      </w:r>
    </w:p>
    <w:p>
      <w:pPr>
        <w:spacing w:after="80"/>
      </w:pPr>
      <w:r>
        <w:rPr>
          <w:b/>
          <w:bCs/>
        </w:rPr>
        <w:t xml:space="preserve">Employee: </w:t>
      </w:r>
      <w:r>
        <w:t xml:space="preserve">1%</w:t>
      </w:r>
    </w:p>
    <w:p>
      <w:pPr>
        <w:spacing w:after="80"/>
      </w:pPr>
      <w:r>
        <w:rPr>
          <w:b/>
          <w:bCs/>
        </w:rPr>
        <w:t xml:space="preserve">Employer: </w:t>
      </w:r>
      <w:r>
        <w:t xml:space="preserve">1%</w:t>
      </w:r>
    </w:p>
    <w:p>
      <w:pPr>
        <w:spacing w:after="80"/>
      </w:pPr>
      <w:r>
        <w:rPr>
          <w:b/>
          <w:bCs/>
        </w:rPr>
        <w:t xml:space="preserve">Salary Cap: </w:t>
      </w:r>
      <w:r>
        <w:t xml:space="preserve">20x regional minimum wage</w:t>
      </w:r>
    </w:p>
    <w:p>
      <w:pPr>
        <w:pStyle w:val="Heading2"/>
      </w:pPr>
      <w:r>
        <w:t xml:space="preserve">3.7 🇵🇭 Philippines - SSS, PhilHealth, HDMF</w:t>
      </w:r>
    </w:p>
    <w:p>
      <w:pPr>
        <w:pStyle w:val="Heading3"/>
      </w:pPr>
      <w:r>
        <w:t xml:space="preserve">SSS (Social Security System)</w:t>
      </w:r>
    </w:p>
    <w:p>
      <w:pPr>
        <w:spacing w:after="80"/>
      </w:pPr>
      <w:r>
        <w:rPr>
          <w:b/>
          <w:bCs/>
        </w:rPr>
        <w:t xml:space="preserve">Employee: </w:t>
      </w:r>
      <w:r>
        <w:t xml:space="preserve">4.5% (2024 rate)</w:t>
      </w:r>
    </w:p>
    <w:p>
      <w:pPr>
        <w:spacing w:after="80"/>
      </w:pPr>
      <w:r>
        <w:rPr>
          <w:b/>
          <w:bCs/>
        </w:rPr>
        <w:t xml:space="preserve">Employer: </w:t>
      </w:r>
      <w:r>
        <w:t xml:space="preserve">9.5% (2024 rate)</w:t>
      </w:r>
    </w:p>
    <w:p>
      <w:pPr>
        <w:spacing w:after="80"/>
      </w:pPr>
      <w:r>
        <w:rPr>
          <w:b/>
          <w:bCs/>
        </w:rPr>
        <w:t xml:space="preserve">Salary Cap: </w:t>
      </w:r>
      <w:r>
        <w:t xml:space="preserve">PHP 30,000/month</w:t>
      </w:r>
    </w:p>
    <w:p>
      <w:pPr>
        <w:pStyle w:val="Heading3"/>
      </w:pPr>
      <w:r>
        <w:t xml:space="preserve">PhilHealth</w:t>
      </w:r>
    </w:p>
    <w:p>
      <w:pPr>
        <w:spacing w:after="80"/>
      </w:pPr>
      <w:r>
        <w:rPr>
          <w:b/>
          <w:bCs/>
        </w:rPr>
        <w:t xml:space="preserve">Rate: </w:t>
      </w:r>
      <w:r>
        <w:t xml:space="preserve">5% shared equally (2.5% each)</w:t>
      </w:r>
    </w:p>
    <w:p>
      <w:pPr>
        <w:spacing w:after="80"/>
      </w:pPr>
      <w:r>
        <w:rPr>
          <w:b/>
          <w:bCs/>
        </w:rPr>
        <w:t xml:space="preserve">Salary Cap: </w:t>
      </w:r>
      <w:r>
        <w:t xml:space="preserve">PHP 100,000/month</w:t>
      </w:r>
    </w:p>
    <w:p>
      <w:pPr>
        <w:pStyle w:val="Heading3"/>
      </w:pPr>
      <w:r>
        <w:t xml:space="preserve">HDMF (Pag-IBIG)</w:t>
      </w:r>
    </w:p>
    <w:p>
      <w:pPr>
        <w:spacing w:after="80"/>
      </w:pPr>
      <w:r>
        <w:rPr>
          <w:b/>
          <w:bCs/>
        </w:rPr>
        <w:t xml:space="preserve">Employee: </w:t>
      </w:r>
      <w:r>
        <w:t xml:space="preserve">1-2%</w:t>
      </w:r>
    </w:p>
    <w:p>
      <w:pPr>
        <w:spacing w:after="80"/>
      </w:pPr>
      <w:r>
        <w:rPr>
          <w:b/>
          <w:bCs/>
        </w:rPr>
        <w:t xml:space="preserve">Employer: </w:t>
      </w:r>
      <w:r>
        <w:t xml:space="preserve">2%</w:t>
      </w:r>
    </w:p>
    <w:p>
      <w:pPr>
        <w:spacing w:after="80"/>
      </w:pPr>
      <w:r>
        <w:rPr>
          <w:b/>
          <w:bCs/>
        </w:rPr>
        <w:t xml:space="preserve">Salary Cap: </w:t>
      </w:r>
      <w:r>
        <w:t xml:space="preserve">PHP 5,000/month</w:t>
      </w:r>
    </w:p>
    <w:p>
      <w:pPr>
        <w:pStyle w:val="Heading2"/>
      </w:pPr>
      <w:r>
        <w:t xml:space="preserve">3.8 🇱🇦 Laos - LSSO</w:t>
      </w:r>
    </w:p>
    <w:p>
      <w:pPr>
        <w:spacing w:after="80"/>
      </w:pPr>
      <w:r>
        <w:rPr>
          <w:b/>
          <w:bCs/>
        </w:rPr>
        <w:t xml:space="preserve">System: </w:t>
      </w:r>
      <w:r>
        <w:t xml:space="preserve">Lao Social Security Organization (LSSO) - launched 3 June 2020</w:t>
      </w:r>
    </w:p>
    <w:p>
      <w:pPr>
        <w:spacing w:after="80"/>
      </w:pPr>
      <w:r>
        <w:rPr>
          <w:b/>
          <w:bCs/>
        </w:rPr>
        <w:t xml:space="preserve">Applicable System: </w:t>
      </w:r>
      <w:r>
        <w:t xml:space="preserve">SSO (Social Security Organization) for private sector</w:t>
      </w:r>
    </w:p>
    <w:p>
      <w:pPr>
        <w:spacing w:after="120"/>
      </w:pPr>
      <w:r>
        <w:t xml:space="preserve">Note: SASS (State Authority Social Security) applies to public sector with different rates</w:t>
      </w:r>
    </w:p>
    <w:p>
      <w:pPr>
        <w:pStyle w:val="Heading3"/>
      </w:pPr>
      <w:r>
        <w:t xml:space="preserve">Private Sector Contribution Rates (SSO)</w:t>
      </w:r>
    </w:p>
    <w:p>
      <w:pPr>
        <w:spacing w:after="80"/>
      </w:pPr>
      <w:r>
        <w:rPr>
          <w:b/>
          <w:bCs/>
        </w:rPr>
        <w:t xml:space="preserve">Employee Contribution: </w:t>
      </w:r>
      <w:r>
        <w:t xml:space="preserve">4.5% of gross monthly earnings</w:t>
      </w:r>
    </w:p>
    <w:p>
      <w:pPr>
        <w:spacing w:after="80"/>
      </w:pPr>
      <w:r>
        <w:rPr>
          <w:b/>
          <w:bCs/>
        </w:rPr>
        <w:t xml:space="preserve">Employer Contribution: </w:t>
      </w:r>
      <w:r>
        <w:t xml:space="preserve">5% of gross monthly earnings</w:t>
      </w:r>
    </w:p>
    <w:p>
      <w:pPr>
        <w:spacing w:after="80"/>
      </w:pPr>
      <w:r>
        <w:rPr>
          <w:b/>
          <w:bCs/>
        </w:rPr>
        <w:t xml:space="preserve">Total: </w:t>
      </w:r>
      <w:r>
        <w:t xml:space="preserve">9.5%</w:t>
      </w:r>
    </w:p>
    <w:p>
      <w:pPr>
        <w:spacing w:after="80"/>
      </w:pPr>
      <w:r>
        <w:rPr>
          <w:b/>
          <w:bCs/>
        </w:rPr>
        <w:t xml:space="preserve">Salary Cap: </w:t>
      </w:r>
      <w:r>
        <w:t xml:space="preserve">LAK 4,500,000/month (~$225 USD)</w:t>
      </w:r>
    </w:p>
    <w:p>
      <w:pPr>
        <w:pStyle w:val="Heading3"/>
      </w:pPr>
      <w:r>
        <w:t xml:space="preserve">Coverage (8 Benefits)</w:t>
      </w:r>
    </w:p>
    <w:p>
      <w:pPr>
        <w:spacing w:after="120"/>
      </w:pPr>
      <w:r>
        <w:t xml:space="preserve">Old-age pension, disability benefits, survivor benefits, sickness benefits, maternity benefits, work injury benefits, health care benefits, unemployment benefits</w:t>
      </w:r>
    </w:p>
    <w:p>
      <w:pPr>
        <w:pStyle w:val="Heading3"/>
      </w:pPr>
      <w:r>
        <w:t xml:space="preserve">Retirement Eligibility</w:t>
      </w:r>
    </w:p>
    <w:p>
      <w:pPr>
        <w:spacing w:after="80"/>
      </w:pPr>
      <w:r>
        <w:rPr>
          <w:b/>
          <w:bCs/>
        </w:rPr>
        <w:t xml:space="preserve">Men: </w:t>
      </w:r>
      <w:r>
        <w:t xml:space="preserve">Age 60 with minimum 15 years contributions</w:t>
      </w:r>
    </w:p>
    <w:p>
      <w:pPr>
        <w:spacing w:after="80"/>
      </w:pPr>
      <w:r>
        <w:rPr>
          <w:b/>
          <w:bCs/>
        </w:rPr>
        <w:t xml:space="preserve">Women: </w:t>
      </w:r>
      <w:r>
        <w:t xml:space="preserve">Age 55 with minimum 15 years contributions</w:t>
      </w:r>
    </w:p>
    <w:p>
      <w:pPr>
        <w:pStyle w:val="Heading2"/>
      </w:pPr>
      <w:r>
        <w:t xml:space="preserve">3.9 🇰🇭 Cambodia - NSSF</w:t>
      </w:r>
    </w:p>
    <w:p>
      <w:pPr>
        <w:spacing w:after="80"/>
      </w:pPr>
      <w:r>
        <w:rPr>
          <w:b/>
          <w:bCs/>
        </w:rPr>
        <w:t xml:space="preserve">System: </w:t>
      </w:r>
      <w:r>
        <w:t xml:space="preserve">National Social Security Fund (NSSF)</w:t>
      </w:r>
    </w:p>
    <w:p>
      <w:pPr>
        <w:spacing w:after="80"/>
      </w:pPr>
      <w:r>
        <w:rPr>
          <w:b/>
          <w:bCs/>
        </w:rPr>
        <w:t xml:space="preserve">Mandatory: </w:t>
      </w:r>
      <w:r>
        <w:t xml:space="preserve">Employers with 8+ employees</w:t>
      </w:r>
    </w:p>
    <w:p>
      <w:pPr>
        <w:pStyle w:val="Heading3"/>
      </w:pPr>
      <w:r>
        <w:t xml:space="preserve">Three Schemes</w:t>
      </w:r>
    </w:p>
    <w:p>
      <w:pPr>
        <w:spacing w:after="120"/>
      </w:pPr>
      <w:r>
        <w:t xml:space="preserve"/>
      </w:r>
    </w:p>
    <w:p>
      <w:pPr>
        <w:spacing w:after="80"/>
      </w:pPr>
      <w:r>
        <w:rPr>
          <w:b/>
          <w:bCs/>
        </w:rPr>
        <w:t xml:space="preserve">1. Occupational Risk Scheme: </w:t>
      </w:r>
      <w:r>
        <w:t xml:space="preserve">Employer only 0.8% (employee 0%)</w:t>
      </w:r>
    </w:p>
    <w:p>
      <w:pPr>
        <w:spacing w:after="80"/>
      </w:pPr>
      <w:r>
        <w:rPr>
          <w:b/>
          <w:bCs/>
        </w:rPr>
        <w:t xml:space="preserve">2. Health Care Scheme: </w:t>
      </w:r>
      <w:r>
        <w:t xml:space="preserve">Employer only 2.6% (employee 0% since 1 Jan 2018)</w:t>
      </w:r>
    </w:p>
    <w:p>
      <w:pPr>
        <w:spacing w:after="80"/>
      </w:pPr>
      <w:r>
        <w:rPr>
          <w:b/>
          <w:bCs/>
        </w:rPr>
        <w:t xml:space="preserve">3. Pension Scheme (started 1 Oct 2022): </w:t>
      </w:r>
      <w:r>
        <w:t xml:space="preserve">Employee 2% + Employer 2% = 4% total</w:t>
      </w:r>
    </w:p>
    <w:p>
      <w:pPr>
        <w:spacing w:after="120"/>
      </w:pPr>
      <w:r>
        <w:t xml:space="preserve">Note: Pension rate will increase to 4% each (8% total) after 5 years</w:t>
      </w:r>
    </w:p>
    <w:p>
      <w:pPr>
        <w:pStyle w:val="Heading3"/>
      </w:pPr>
      <w:r>
        <w:t xml:space="preserve">Total Current Contributions</w:t>
      </w:r>
    </w:p>
    <w:p>
      <w:pPr>
        <w:spacing w:after="80"/>
      </w:pPr>
      <w:r>
        <w:rPr>
          <w:b/>
          <w:bCs/>
        </w:rPr>
        <w:t xml:space="preserve">Employee: </w:t>
      </w:r>
      <w:r>
        <w:t xml:space="preserve">2% (pension only)</w:t>
      </w:r>
    </w:p>
    <w:p>
      <w:pPr>
        <w:spacing w:after="80"/>
      </w:pPr>
      <w:r>
        <w:rPr>
          <w:b/>
          <w:bCs/>
        </w:rPr>
        <w:t xml:space="preserve">Employer: </w:t>
      </w:r>
      <w:r>
        <w:t xml:space="preserve">5.4% (0.8% risk + 2.6% health + 2% pension)</w:t>
      </w:r>
    </w:p>
    <w:p>
      <w:pPr>
        <w:spacing w:after="80"/>
      </w:pPr>
      <w:r>
        <w:rPr>
          <w:b/>
          <w:bCs/>
        </w:rPr>
        <w:t xml:space="preserve">Total: </w:t>
      </w:r>
      <w:r>
        <w:t xml:space="preserve">7.4%</w:t>
      </w:r>
    </w:p>
    <w:p>
      <w:pPr>
        <w:spacing w:after="80"/>
      </w:pPr>
      <w:r>
        <w:rPr>
          <w:b/>
          <w:bCs/>
        </w:rPr>
        <w:t xml:space="preserve">Salary Cap: </w:t>
      </w:r>
      <w:r>
        <w:t xml:space="preserve">KHR 1,200,000/month (~$300 USD)</w:t>
      </w:r>
    </w:p>
    <w:p>
      <w:pPr>
        <w:pStyle w:val="Heading3"/>
      </w:pPr>
      <w:r>
        <w:t xml:space="preserve">Future Rates (After 5 Years from Oct 2022)</w:t>
      </w:r>
    </w:p>
    <w:p>
      <w:pPr>
        <w:spacing w:after="80"/>
      </w:pPr>
      <w:r>
        <w:rPr>
          <w:b/>
          <w:bCs/>
        </w:rPr>
        <w:t xml:space="preserve">Employee: </w:t>
      </w:r>
      <w:r>
        <w:t xml:space="preserve">4%</w:t>
      </w:r>
    </w:p>
    <w:p>
      <w:pPr>
        <w:spacing w:after="80"/>
      </w:pPr>
      <w:r>
        <w:rPr>
          <w:b/>
          <w:bCs/>
        </w:rPr>
        <w:t xml:space="preserve">Employer: </w:t>
      </w:r>
      <w:r>
        <w:t xml:space="preserve">6.4%</w:t>
      </w:r>
    </w:p>
    <w:p>
      <w:pPr>
        <w:spacing w:after="80"/>
      </w:pPr>
      <w:r>
        <w:rPr>
          <w:b/>
          <w:bCs/>
        </w:rPr>
        <w:t xml:space="preserve">Total: </w:t>
      </w:r>
      <w:r>
        <w:t xml:space="preserve">10.4%</w:t>
      </w:r>
    </w:p>
    <w:p>
      <w:pPr>
        <w:pStyle w:val="Heading2"/>
      </w:pPr>
      <w:r>
        <w:t xml:space="preserve">3.10 🇧🇳 Brunei - SPK</w:t>
      </w:r>
    </w:p>
    <w:p>
      <w:pPr>
        <w:spacing w:after="80"/>
      </w:pPr>
      <w:r>
        <w:rPr>
          <w:b/>
          <w:bCs/>
        </w:rPr>
        <w:t xml:space="preserve">System: </w:t>
      </w:r>
      <w:r>
        <w:t xml:space="preserve">Skim Persaraan Kebangsaan (SPK) - National Pension Scheme</w:t>
      </w:r>
    </w:p>
    <w:p>
      <w:pPr>
        <w:spacing w:after="80"/>
      </w:pPr>
      <w:r>
        <w:rPr>
          <w:b/>
          <w:bCs/>
        </w:rPr>
        <w:t xml:space="preserve">Launched: </w:t>
      </w:r>
      <w:r>
        <w:t xml:space="preserve">15 July 2023 (replacing TAP/SCP for workers under 50)</w:t>
      </w:r>
    </w:p>
    <w:p>
      <w:pPr>
        <w:spacing w:after="80"/>
      </w:pPr>
      <w:r>
        <w:rPr>
          <w:b/>
          <w:bCs/>
        </w:rPr>
        <w:t xml:space="preserve">Automatic Enrollment: </w:t>
      </w:r>
      <w:r>
        <w:t xml:space="preserve">Workers under age 50</w:t>
      </w:r>
    </w:p>
    <w:p>
      <w:pPr>
        <w:spacing w:after="80"/>
      </w:pPr>
      <w:r>
        <w:rPr>
          <w:b/>
          <w:bCs/>
        </w:rPr>
        <w:t xml:space="preserve">Optional: </w:t>
      </w:r>
      <w:r>
        <w:t xml:space="preserve">Workers age 50-59 (can remain on TAP/SCP)</w:t>
      </w:r>
    </w:p>
    <w:p>
      <w:pPr>
        <w:pStyle w:val="Heading3"/>
      </w:pPr>
      <w:r>
        <w:t xml:space="preserve">SPK Contribution Rates</w:t>
      </w:r>
    </w:p>
    <w:p>
      <w:pPr>
        <w:spacing w:after="80"/>
      </w:pPr>
      <w:r>
        <w:rPr>
          <w:b/>
          <w:bCs/>
        </w:rPr>
        <w:t xml:space="preserve">Employee: </w:t>
      </w:r>
      <w:r>
        <w:t xml:space="preserve">8.5% (no salary cap)</w:t>
      </w:r>
    </w:p>
    <w:p>
      <w:pPr>
        <w:spacing w:after="80"/>
      </w:pPr>
      <w:r>
        <w:rPr>
          <w:b/>
          <w:bCs/>
        </w:rPr>
        <w:t xml:space="preserve">Employer: </w:t>
      </w:r>
      <w:r>
        <w:t xml:space="preserve">8.5% (tiered for lower salaries)</w:t>
      </w:r>
    </w:p>
    <w:p>
      <w:pPr>
        <w:spacing w:after="80"/>
      </w:pPr>
      <w:r>
        <w:rPr>
          <w:b/>
          <w:bCs/>
        </w:rPr>
        <w:t xml:space="preserve">Total: </w:t>
      </w:r>
      <w:r>
        <w:t xml:space="preserve">17%</w:t>
      </w:r>
    </w:p>
    <w:p>
      <w:pPr>
        <w:pStyle w:val="Heading3"/>
      </w:pPr>
      <w:r>
        <w:t xml:space="preserve">Employer Tiered Rates</w:t>
      </w:r>
    </w:p>
    <w:p>
      <w:pPr>
        <w:spacing w:after="120"/>
      </w:pPr>
      <w:r>
        <w:t xml:space="preserve">Salary &gt; BND 2,800: 8.5%</w:t>
      </w:r>
    </w:p>
    <w:p>
      <w:pPr>
        <w:spacing w:after="120"/>
      </w:pPr>
      <w:r>
        <w:t xml:space="preserve">BND 1,500.01 - 2,800: 9.5%</w:t>
      </w:r>
    </w:p>
    <w:p>
      <w:pPr>
        <w:spacing w:after="120"/>
      </w:pPr>
      <w:r>
        <w:t xml:space="preserve">BND 500.01 - 1,500: 10.5%</w:t>
      </w:r>
    </w:p>
    <w:p>
      <w:pPr>
        <w:spacing w:after="120"/>
      </w:pPr>
      <w:r>
        <w:t xml:space="preserve">≤ BND 500: Flat BND 57.50</w:t>
      </w:r>
    </w:p>
    <w:p>
      <w:pPr>
        <w:pStyle w:val="Heading3"/>
      </w:pPr>
      <w:r>
        <w:t xml:space="preserve">Benefit</w:t>
      </w:r>
    </w:p>
    <w:p>
      <w:pPr>
        <w:spacing w:after="80"/>
      </w:pPr>
      <w:r>
        <w:rPr>
          <w:b/>
          <w:bCs/>
        </w:rPr>
        <w:t xml:space="preserve">Retirement Age: </w:t>
      </w:r>
      <w:r>
        <w:t xml:space="preserve">60</w:t>
      </w:r>
    </w:p>
    <w:p>
      <w:pPr>
        <w:spacing w:after="80"/>
      </w:pPr>
      <w:r>
        <w:rPr>
          <w:b/>
          <w:bCs/>
        </w:rPr>
        <w:t xml:space="preserve">Payout: </w:t>
      </w:r>
      <w:r>
        <w:t xml:space="preserve">Lifetime annuity (vs 20-year fixed term in old SCP system)</w:t>
      </w:r>
    </w:p>
    <w:p>
      <w:pPr>
        <w:pStyle w:val="Heading3"/>
      </w:pPr>
      <w:r>
        <w:t xml:space="preserve">Legacy Systems (for workers 50+ who opted out of SPK)</w:t>
      </w:r>
    </w:p>
    <w:p>
      <w:pPr>
        <w:spacing w:after="80"/>
      </w:pPr>
      <w:r>
        <w:rPr>
          <w:b/>
          <w:bCs/>
        </w:rPr>
        <w:t xml:space="preserve">TAP: </w:t>
      </w:r>
      <w:r>
        <w:t xml:space="preserve">5% employee + 5% employer = 10%</w:t>
      </w:r>
    </w:p>
    <w:p>
      <w:pPr>
        <w:spacing w:after="80"/>
      </w:pPr>
      <w:r>
        <w:rPr>
          <w:b/>
          <w:bCs/>
        </w:rPr>
        <w:t xml:space="preserve">SCP: </w:t>
      </w:r>
      <w:r>
        <w:t xml:space="preserve">3.5% employee + 3.5% employer = 7% (capped at BND 2,800)</w:t>
      </w:r>
    </w:p>
    <w:p>
      <w:r>
        <w:br w:type="page"/>
      </w:r>
    </w:p>
    <w:p>
      <w:pPr>
        <w:pStyle w:val="Heading1"/>
      </w:pPr>
      <w:r>
        <w:t xml:space="preserve">4. Labor Law Requirements</w:t>
      </w:r>
    </w:p>
    <w:p>
      <w:pPr>
        <w:spacing w:after="120"/>
      </w:pPr>
      <w:r>
        <w:t xml:space="preserve">This section covers minimum wage, working hours, leave entitlements, and public holidays for all 9 countries.</w:t>
      </w:r>
    </w:p>
    <w:p>
      <w:pPr>
        <w:pStyle w:val="Heading2"/>
      </w:pPr>
      <w:r>
        <w:t xml:space="preserve">4.1 Minimum Wage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8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w:t>
            </w:r>
          </w:p>
        </w:tc>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Minimum Wage (Monthly)</w:t>
            </w:r>
          </w:p>
        </w:tc>
        <w:tc>
          <w:tcPr>
            <w:tcW w:type="dxa" w:w="2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Effective Date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Malaysia</w:t>
            </w:r>
          </w:p>
        </w:tc>
        <w:tc>
          <w:tcPr>
            <w:tcW w:type="dxa" w:w="3500"/>
            <w:tcBorders>
              <w:top w:val="single" w:color="CCCCCC" w:sz="1"/>
              <w:left w:val="single" w:color="CCCCCC" w:sz="1"/>
              <w:bottom w:val="single" w:color="CCCCCC" w:sz="1"/>
              <w:right w:val="single" w:color="CCCCCC" w:sz="1"/>
            </w:tcBorders>
          </w:tcPr>
          <w:p>
            <w:pPr>
              <w:spacing w:before="40" w:after="40"/>
            </w:pPr>
            <w:r>
              <w:rPr>
                <w:sz w:val="20"/>
                <w:szCs w:val="20"/>
              </w:rPr>
              <w:t xml:space="preserve">RM 1,500</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May 2022</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Singapore</w:t>
            </w:r>
          </w:p>
        </w:tc>
        <w:tc>
          <w:tcPr>
            <w:tcW w:type="dxa" w:w="3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No statutory minimum (PWM sectors only)</w:t>
            </w:r>
          </w:p>
        </w:tc>
        <w:tc>
          <w:tcPr>
            <w:tcW w:type="dxa" w:w="2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Indonesia</w:t>
            </w:r>
          </w:p>
        </w:tc>
        <w:tc>
          <w:tcPr>
            <w:tcW w:type="dxa" w:w="3500"/>
            <w:tcBorders>
              <w:top w:val="single" w:color="CCCCCC" w:sz="1"/>
              <w:left w:val="single" w:color="CCCCCC" w:sz="1"/>
              <w:bottom w:val="single" w:color="CCCCCC" w:sz="1"/>
              <w:right w:val="single" w:color="CCCCCC" w:sz="1"/>
            </w:tcBorders>
          </w:tcPr>
          <w:p>
            <w:pPr>
              <w:spacing w:before="40" w:after="40"/>
            </w:pPr>
            <w:r>
              <w:rPr>
                <w:sz w:val="20"/>
                <w:szCs w:val="20"/>
              </w:rPr>
              <w:t xml:space="preserve">~IDR 4.9M (Jakarta, varies by province)</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Jan 2024</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Thailand</w:t>
            </w:r>
          </w:p>
        </w:tc>
        <w:tc>
          <w:tcPr>
            <w:tcW w:type="dxa" w:w="3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THB 330-370/day (varies by province)</w:t>
            </w:r>
          </w:p>
        </w:tc>
        <w:tc>
          <w:tcPr>
            <w:tcW w:type="dxa" w:w="2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Oct 2024</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Vietnam</w:t>
            </w:r>
          </w:p>
        </w:tc>
        <w:tc>
          <w:tcPr>
            <w:tcW w:type="dxa" w:w="3500"/>
            <w:tcBorders>
              <w:top w:val="single" w:color="CCCCCC" w:sz="1"/>
              <w:left w:val="single" w:color="CCCCCC" w:sz="1"/>
              <w:bottom w:val="single" w:color="CCCCCC" w:sz="1"/>
              <w:right w:val="single" w:color="CCCCCC" w:sz="1"/>
            </w:tcBorders>
          </w:tcPr>
          <w:p>
            <w:pPr>
              <w:spacing w:before="40" w:after="40"/>
            </w:pPr>
            <w:r>
              <w:rPr>
                <w:sz w:val="20"/>
                <w:szCs w:val="20"/>
              </w:rPr>
              <w:t xml:space="preserve">VND 4.68M - 4.96M (4 regions)</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Jul 2024</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Philippines</w:t>
            </w:r>
          </w:p>
        </w:tc>
        <w:tc>
          <w:tcPr>
            <w:tcW w:type="dxa" w:w="3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PHP 610/day (NCR, varies by region)</w:t>
            </w:r>
          </w:p>
        </w:tc>
        <w:tc>
          <w:tcPr>
            <w:tcW w:type="dxa" w:w="2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Jul 2024</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Laos</w:t>
            </w:r>
          </w:p>
        </w:tc>
        <w:tc>
          <w:tcPr>
            <w:tcW w:type="dxa" w:w="3500"/>
            <w:tcBorders>
              <w:top w:val="single" w:color="CCCCCC" w:sz="1"/>
              <w:left w:val="single" w:color="CCCCCC" w:sz="1"/>
              <w:bottom w:val="single" w:color="CCCCCC" w:sz="1"/>
              <w:right w:val="single" w:color="CCCCCC" w:sz="1"/>
            </w:tcBorders>
          </w:tcPr>
          <w:p>
            <w:pPr>
              <w:spacing w:before="40" w:after="40"/>
            </w:pPr>
            <w:r>
              <w:rPr>
                <w:sz w:val="20"/>
                <w:szCs w:val="20"/>
              </w:rPr>
              <w:t xml:space="preserve">LAK 2,500,000 (~$114 USD)</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Oct 2024</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Cambodia</w:t>
            </w:r>
          </w:p>
        </w:tc>
        <w:tc>
          <w:tcPr>
            <w:tcW w:type="dxa" w:w="3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KHR 836,384 (~$208 USD) - garment sector</w:t>
            </w:r>
          </w:p>
        </w:tc>
        <w:tc>
          <w:tcPr>
            <w:tcW w:type="dxa" w:w="2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Jan 2025</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Brunei</w:t>
            </w:r>
          </w:p>
        </w:tc>
        <w:tc>
          <w:tcPr>
            <w:tcW w:type="dxa" w:w="3500"/>
            <w:tcBorders>
              <w:top w:val="single" w:color="CCCCCC" w:sz="1"/>
              <w:left w:val="single" w:color="CCCCCC" w:sz="1"/>
              <w:bottom w:val="single" w:color="CCCCCC" w:sz="1"/>
              <w:right w:val="single" w:color="CCCCCC" w:sz="1"/>
            </w:tcBorders>
          </w:tcPr>
          <w:p>
            <w:pPr>
              <w:spacing w:before="40" w:after="40"/>
            </w:pPr>
            <w:r>
              <w:rPr>
                <w:sz w:val="20"/>
                <w:szCs w:val="20"/>
              </w:rPr>
              <w:t xml:space="preserve">BND 500 (specific sectors only)</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2025</w:t>
            </w:r>
          </w:p>
        </w:tc>
      </w:tr>
    </w:tbl>
    <w:p>
      <w:pPr>
        <w:spacing w:after="120"/>
      </w:pPr>
      <w:r>
        <w:t xml:space="preserve"/>
      </w:r>
    </w:p>
    <w:p>
      <w:pPr>
        <w:pStyle w:val="Heading2"/>
      </w:pPr>
      <w:r>
        <w:t xml:space="preserve">4.2 Annual Leave Entitlements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8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Minimum Annual Leave</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Malaysia</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8-16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Based on years of service</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Singapore</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7-14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Based on years of service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Indonesia</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12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After 12 months continuous work</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Thailand</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6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After 1 year of service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Vietnam</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12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+1 day per 5 years of service</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Philippines</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5 days SIL</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Service Incentive Leave (statutory)</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Laos</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15 days (18 hazardous)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After 1 year of continuous service</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Cambodia</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18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 day per 3 years of service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Brunei</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7+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Based on years of service</w:t>
            </w:r>
          </w:p>
        </w:tc>
      </w:tr>
    </w:tbl>
    <w:p>
      <w:pPr>
        <w:spacing w:after="120"/>
      </w:pPr>
      <w:r>
        <w:t xml:space="preserve"/>
      </w:r>
    </w:p>
    <w:p>
      <w:pPr>
        <w:pStyle w:val="Heading2"/>
      </w:pPr>
      <w:r>
        <w:t xml:space="preserve">4.3 Public Holidays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Public Holidays</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Malaysia</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11 national + state</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Varies by state (16-19 total)</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Singapore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11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Fixed national holidays</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Indonesia</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16-17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Includes collective leave</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Thailand</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13-16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Varies by sector</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Vietnam</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11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Fixed national holidays</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Philippines</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18-21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Regular + special non-working</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Laos</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7 paid (11 total)</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Buddhist holidays on lunar calendar</w:t>
            </w:r>
          </w:p>
        </w:tc>
      </w:tr>
      <w:tr>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Cambodia</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~22 days</w:t>
            </w:r>
          </w:p>
        </w:tc>
        <w:tc>
          <w:tcPr>
            <w:tcW w:type="dxa" w:w="3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Highest in region - Prakas issued annually</w:t>
            </w:r>
          </w:p>
        </w:tc>
      </w:tr>
      <w:tr>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 Brunei</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15 days</w:t>
            </w:r>
          </w:p>
        </w:tc>
        <w:tc>
          <w:tcPr>
            <w:tcW w:type="dxa" w:w="3860"/>
            <w:tcBorders>
              <w:top w:val="single" w:color="CCCCCC" w:sz="1"/>
              <w:left w:val="single" w:color="CCCCCC" w:sz="1"/>
              <w:bottom w:val="single" w:color="CCCCCC" w:sz="1"/>
              <w:right w:val="single" w:color="CCCCCC" w:sz="1"/>
            </w:tcBorders>
          </w:tcPr>
          <w:p>
            <w:pPr>
              <w:spacing w:before="40" w:after="40"/>
            </w:pPr>
            <w:r>
              <w:rPr>
                <w:sz w:val="20"/>
                <w:szCs w:val="20"/>
              </w:rPr>
              <w:t xml:space="preserve">Islamic holidays on lunar calendar</w:t>
            </w:r>
          </w:p>
        </w:tc>
      </w:tr>
    </w:tbl>
    <w:p>
      <w:pPr>
        <w:spacing w:after="120"/>
      </w:pPr>
      <w:r>
        <w:t xml:space="preserve"/>
      </w:r>
    </w:p>
    <w:p>
      <w:pPr>
        <w:pStyle w:val="Heading2"/>
      </w:pPr>
      <w:r>
        <w:t xml:space="preserve">4.4 Working Hours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w:t>
            </w:r>
          </w:p>
        </w:tc>
        <w:tc>
          <w:tcPr>
            <w:tcW w:type="dxa" w:w="23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Daily Max</w:t>
            </w:r>
          </w:p>
        </w:tc>
        <w:tc>
          <w:tcPr>
            <w:tcW w:type="dxa" w:w="23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Weekly Max</w:t>
            </w:r>
          </w:p>
        </w:tc>
        <w:tc>
          <w:tcPr>
            <w:tcW w:type="dxa" w:w="27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Overtime Rate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Malaysia</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8 hours</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45 hours</w:t>
            </w:r>
          </w:p>
        </w:tc>
        <w:tc>
          <w:tcPr>
            <w:tcW w:type="dxa" w:w="2760"/>
            <w:tcBorders>
              <w:top w:val="single" w:color="CCCCCC" w:sz="1"/>
              <w:left w:val="single" w:color="CCCCCC" w:sz="1"/>
              <w:bottom w:val="single" w:color="CCCCCC" w:sz="1"/>
              <w:right w:val="single" w:color="CCCCCC" w:sz="1"/>
            </w:tcBorders>
          </w:tcPr>
          <w:p>
            <w:pPr>
              <w:spacing w:before="40" w:after="40"/>
            </w:pPr>
            <w:r>
              <w:rPr>
                <w:sz w:val="20"/>
                <w:szCs w:val="20"/>
              </w:rPr>
              <w:t xml:space="preserve">1.5x (2x rest day)</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Singapore</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8-9 hours</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44 hours</w:t>
            </w:r>
          </w:p>
        </w:tc>
        <w:tc>
          <w:tcPr>
            <w:tcW w:type="dxa" w:w="27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1.5x (2x rest day)</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Indonesia</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7-8 hours</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40 hours</w:t>
            </w:r>
          </w:p>
        </w:tc>
        <w:tc>
          <w:tcPr>
            <w:tcW w:type="dxa" w:w="2760"/>
            <w:tcBorders>
              <w:top w:val="single" w:color="CCCCCC" w:sz="1"/>
              <w:left w:val="single" w:color="CCCCCC" w:sz="1"/>
              <w:bottom w:val="single" w:color="CCCCCC" w:sz="1"/>
              <w:right w:val="single" w:color="CCCCCC" w:sz="1"/>
            </w:tcBorders>
          </w:tcPr>
          <w:p>
            <w:pPr>
              <w:spacing w:before="40" w:after="40"/>
            </w:pPr>
            <w:r>
              <w:rPr>
                <w:sz w:val="20"/>
                <w:szCs w:val="20"/>
              </w:rPr>
              <w:t xml:space="preserve">1.5x-4x varies</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Thailand</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 hours</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48 hours</w:t>
            </w:r>
          </w:p>
        </w:tc>
        <w:tc>
          <w:tcPr>
            <w:tcW w:type="dxa" w:w="27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1.5x (3x holidays)</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Vietnam</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8 hours</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48 hours</w:t>
            </w:r>
          </w:p>
        </w:tc>
        <w:tc>
          <w:tcPr>
            <w:tcW w:type="dxa" w:w="2760"/>
            <w:tcBorders>
              <w:top w:val="single" w:color="CCCCCC" w:sz="1"/>
              <w:left w:val="single" w:color="CCCCCC" w:sz="1"/>
              <w:bottom w:val="single" w:color="CCCCCC" w:sz="1"/>
              <w:right w:val="single" w:color="CCCCCC" w:sz="1"/>
            </w:tcBorders>
          </w:tcPr>
          <w:p>
            <w:pPr>
              <w:spacing w:before="40" w:after="40"/>
            </w:pPr>
            <w:r>
              <w:rPr>
                <w:sz w:val="20"/>
                <w:szCs w:val="20"/>
              </w:rPr>
              <w:t xml:space="preserve">1.5x-3x varies</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Philippines</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 hours</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48 hours</w:t>
            </w:r>
          </w:p>
        </w:tc>
        <w:tc>
          <w:tcPr>
            <w:tcW w:type="dxa" w:w="27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1.25x-2x varies</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Laos</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8 hours (6 hazardous)</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48 hours (36 hazardous)</w:t>
            </w:r>
          </w:p>
        </w:tc>
        <w:tc>
          <w:tcPr>
            <w:tcW w:type="dxa" w:w="2760"/>
            <w:tcBorders>
              <w:top w:val="single" w:color="CCCCCC" w:sz="1"/>
              <w:left w:val="single" w:color="CCCCCC" w:sz="1"/>
              <w:bottom w:val="single" w:color="CCCCCC" w:sz="1"/>
              <w:right w:val="single" w:color="CCCCCC" w:sz="1"/>
            </w:tcBorders>
          </w:tcPr>
          <w:p>
            <w:pPr>
              <w:spacing w:before="40" w:after="40"/>
            </w:pPr>
            <w:r>
              <w:rPr>
                <w:sz w:val="20"/>
                <w:szCs w:val="20"/>
              </w:rPr>
              <w:t xml:space="preserve">1.5x-3.5x varies</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 Cambodia</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 hours</w:t>
            </w:r>
          </w:p>
        </w:tc>
        <w:tc>
          <w:tcPr>
            <w:tcW w:type="dxa" w:w="23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48 hours</w:t>
            </w:r>
          </w:p>
        </w:tc>
        <w:tc>
          <w:tcPr>
            <w:tcW w:type="dxa" w:w="27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1.5x (2x rest/holiday)</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 Brunei</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8 hours</w:t>
            </w:r>
          </w:p>
        </w:tc>
        <w:tc>
          <w:tcPr>
            <w:tcW w:type="dxa" w:w="2300"/>
            <w:tcBorders>
              <w:top w:val="single" w:color="CCCCCC" w:sz="1"/>
              <w:left w:val="single" w:color="CCCCCC" w:sz="1"/>
              <w:bottom w:val="single" w:color="CCCCCC" w:sz="1"/>
              <w:right w:val="single" w:color="CCCCCC" w:sz="1"/>
            </w:tcBorders>
          </w:tcPr>
          <w:p>
            <w:pPr>
              <w:spacing w:before="40" w:after="40"/>
            </w:pPr>
            <w:r>
              <w:rPr>
                <w:sz w:val="20"/>
                <w:szCs w:val="20"/>
              </w:rPr>
              <w:t xml:space="preserve">44 hours</w:t>
            </w:r>
          </w:p>
        </w:tc>
        <w:tc>
          <w:tcPr>
            <w:tcW w:type="dxa" w:w="2760"/>
            <w:tcBorders>
              <w:top w:val="single" w:color="CCCCCC" w:sz="1"/>
              <w:left w:val="single" w:color="CCCCCC" w:sz="1"/>
              <w:bottom w:val="single" w:color="CCCCCC" w:sz="1"/>
              <w:right w:val="single" w:color="CCCCCC" w:sz="1"/>
            </w:tcBorders>
          </w:tcPr>
          <w:p>
            <w:pPr>
              <w:spacing w:before="40" w:after="40"/>
            </w:pPr>
            <w:r>
              <w:rPr>
                <w:sz w:val="20"/>
                <w:szCs w:val="20"/>
              </w:rPr>
              <w:t xml:space="preserve">1.5x (2x rest day)</w:t>
            </w:r>
          </w:p>
        </w:tc>
      </w:tr>
    </w:tbl>
    <w:p>
      <w:r>
        <w:br w:type="page"/>
      </w:r>
    </w:p>
    <w:p>
      <w:pPr>
        <w:pStyle w:val="Heading1"/>
      </w:pPr>
      <w:r>
        <w:t xml:space="preserve">5. VPS Infrastructure Architecture</w:t>
      </w:r>
    </w:p>
    <w:p>
      <w:pPr>
        <w:pStyle w:val="Heading2"/>
      </w:pPr>
      <w:r>
        <w:t xml:space="preserve">5.1 Hub-Spoke Model Overview</w:t>
      </w:r>
    </w:p>
    <w:p>
      <w:pPr>
        <w:spacing w:after="120"/>
      </w:pPr>
      <w:r>
        <w:t xml:space="preserve">KerjaFlow v3.0 uses a hub-spoke architecture with Malaysia as the central control plane. This design optimizes cost while maintaining data residency compliance across all 9 ASEAN countries.</w:t>
      </w:r>
    </w:p>
    <w:p>
      <w:pPr>
        <w:pStyle w:val="Heading2"/>
      </w:pPr>
      <w:r>
        <w:t xml:space="preserve">5.2 Malaysia Hub (Control Plane)</w:t>
      </w:r>
    </w:p>
    <w:p>
      <w:pPr>
        <w:spacing w:after="80"/>
      </w:pPr>
      <w:r>
        <w:rPr>
          <w:b/>
          <w:bCs/>
        </w:rPr>
        <w:t xml:space="preserve">Provider: </w:t>
      </w:r>
      <w:r>
        <w:t xml:space="preserve">Shinjiru Malaysia</w:t>
      </w:r>
    </w:p>
    <w:p>
      <w:pPr>
        <w:spacing w:after="80"/>
      </w:pPr>
      <w:r>
        <w:rPr>
          <w:b/>
          <w:bCs/>
        </w:rPr>
        <w:t xml:space="preserve">Monthly Cost: </w:t>
      </w:r>
      <w:r>
        <w:t xml:space="preserve">$59</w:t>
      </w:r>
    </w:p>
    <w:p>
      <w:pPr>
        <w:spacing w:after="80"/>
      </w:pPr>
      <w:r>
        <w:rPr>
          <w:b/>
          <w:bCs/>
        </w:rPr>
        <w:t xml:space="preserve">Specifications: </w:t>
      </w:r>
      <w:r>
        <w:t xml:space="preserve">4 vCPU, 8GB RAM, 100GB NVMe SSD</w:t>
      </w:r>
    </w:p>
    <w:p>
      <w:pPr>
        <w:spacing w:after="80"/>
      </w:pPr>
      <w:r>
        <w:rPr>
          <w:b/>
          <w:bCs/>
        </w:rPr>
        <w:t xml:space="preserve">Location: </w:t>
      </w:r>
      <w:r>
        <w:t xml:space="preserve">Kuala Lumpur, Malaysia</w:t>
      </w:r>
    </w:p>
    <w:p>
      <w:pPr>
        <w:pStyle w:val="Heading3"/>
      </w:pPr>
      <w:r>
        <w:t xml:space="preserve">Services Hosted</w:t>
      </w:r>
    </w:p>
    <w:p>
      <w:pPr>
        <w:spacing w:after="120"/>
      </w:pPr>
      <w:r>
        <w:t xml:space="preserve">• Nginx reverse proxy with rate limiting and security headers</w:t>
      </w:r>
    </w:p>
    <w:p>
      <w:pPr>
        <w:spacing w:after="120"/>
      </w:pPr>
      <w:r>
        <w:t xml:space="preserve">• Odoo 17 ERP backend application</w:t>
      </w:r>
    </w:p>
    <w:p>
      <w:pPr>
        <w:spacing w:after="120"/>
      </w:pPr>
      <w:r>
        <w:t xml:space="preserve">• Redis cache cluster</w:t>
      </w:r>
    </w:p>
    <w:p>
      <w:pPr>
        <w:spacing w:after="120"/>
      </w:pPr>
      <w:r>
        <w:t xml:space="preserve">• MinIO object storage (S3-compatible)</w:t>
      </w:r>
    </w:p>
    <w:p>
      <w:pPr>
        <w:spacing w:after="120"/>
      </w:pPr>
      <w:r>
        <w:t xml:space="preserve">• WireGuard VPN server (hub)</w:t>
      </w:r>
    </w:p>
    <w:p>
      <w:pPr>
        <w:spacing w:after="120"/>
      </w:pPr>
      <w:r>
        <w:t xml:space="preserve">• Central PostgreSQL (shared tables only)</w:t>
      </w:r>
    </w:p>
    <w:p>
      <w:pPr>
        <w:pStyle w:val="Heading3"/>
      </w:pPr>
      <w:r>
        <w:t xml:space="preserve">Countries Served from Hub</w:t>
      </w:r>
    </w:p>
    <w:p>
      <w:pPr>
        <w:spacing w:after="120"/>
      </w:pPr>
      <w:r>
        <w:t xml:space="preserve">• 🇲🇾 Malaysia (primary)</w:t>
      </w:r>
    </w:p>
    <w:p>
      <w:pPr>
        <w:spacing w:after="120"/>
      </w:pPr>
      <w:r>
        <w:t xml:space="preserve">• 🇵🇭 Philippines (no local data residency requirement)</w:t>
      </w:r>
    </w:p>
    <w:p>
      <w:pPr>
        <w:spacing w:after="120"/>
      </w:pPr>
      <w:r>
        <w:t xml:space="preserve">• 🇧🇳 Brunei (no local data residency requirement, same language)</w:t>
      </w:r>
    </w:p>
    <w:p>
      <w:pPr>
        <w:pStyle w:val="Heading2"/>
      </w:pPr>
      <w:r>
        <w:t xml:space="preserve">5.3 Singapore Data Plane</w:t>
      </w:r>
    </w:p>
    <w:p>
      <w:pPr>
        <w:spacing w:after="80"/>
      </w:pPr>
      <w:r>
        <w:rPr>
          <w:b/>
          <w:bCs/>
        </w:rPr>
        <w:t xml:space="preserve">Provider: </w:t>
      </w:r>
      <w:r>
        <w:t xml:space="preserve">Contabo Singapore</w:t>
      </w:r>
    </w:p>
    <w:p>
      <w:pPr>
        <w:spacing w:after="80"/>
      </w:pPr>
      <w:r>
        <w:rPr>
          <w:b/>
          <w:bCs/>
        </w:rPr>
        <w:t xml:space="preserve">Monthly Cost: </w:t>
      </w:r>
      <w:r>
        <w:t xml:space="preserve">$8</w:t>
      </w:r>
    </w:p>
    <w:p>
      <w:pPr>
        <w:spacing w:after="80"/>
      </w:pPr>
      <w:r>
        <w:rPr>
          <w:b/>
          <w:bCs/>
        </w:rPr>
        <w:t xml:space="preserve">Specifications: </w:t>
      </w:r>
      <w:r>
        <w:t xml:space="preserve">2 vCPU, 4GB RAM, 50GB SSD</w:t>
      </w:r>
    </w:p>
    <w:p>
      <w:pPr>
        <w:spacing w:after="80"/>
      </w:pPr>
      <w:r>
        <w:rPr>
          <w:b/>
          <w:bCs/>
        </w:rPr>
        <w:t xml:space="preserve">Purpose: </w:t>
      </w:r>
      <w:r>
        <w:t xml:space="preserve">Local data residency for financial sector compliance</w:t>
      </w:r>
    </w:p>
    <w:p>
      <w:pPr>
        <w:pStyle w:val="Heading3"/>
      </w:pPr>
      <w:r>
        <w:t xml:space="preserve">Services Hosted</w:t>
      </w:r>
    </w:p>
    <w:p>
      <w:pPr>
        <w:spacing w:after="120"/>
      </w:pPr>
      <w:r>
        <w:t xml:space="preserve">• PostgreSQL (Singapore employee data)</w:t>
      </w:r>
    </w:p>
    <w:p>
      <w:pPr>
        <w:spacing w:after="120"/>
      </w:pPr>
      <w:r>
        <w:t xml:space="preserve">• WireGuard VPN peer</w:t>
      </w:r>
    </w:p>
    <w:p>
      <w:pPr>
        <w:spacing w:after="120"/>
      </w:pPr>
      <w:r>
        <w:t xml:space="preserve">• Local nginx proxy</w:t>
      </w:r>
    </w:p>
    <w:p>
      <w:pPr>
        <w:pStyle w:val="Heading2"/>
      </w:pPr>
      <w:r>
        <w:t xml:space="preserve">5.4 Indonesia Data Plane</w:t>
      </w:r>
    </w:p>
    <w:p>
      <w:pPr>
        <w:spacing w:after="80"/>
      </w:pPr>
      <w:r>
        <w:rPr>
          <w:b/>
          <w:bCs/>
        </w:rPr>
        <w:t xml:space="preserve">Provider: </w:t>
      </w:r>
      <w:r>
        <w:t xml:space="preserve">IDCloudHost Jakarta</w:t>
      </w:r>
    </w:p>
    <w:p>
      <w:pPr>
        <w:spacing w:after="80"/>
      </w:pPr>
      <w:r>
        <w:rPr>
          <w:b/>
          <w:bCs/>
        </w:rPr>
        <w:t xml:space="preserve">Monthly Cost: </w:t>
      </w:r>
      <w:r>
        <w:t xml:space="preserve">$15</w:t>
      </w:r>
    </w:p>
    <w:p>
      <w:pPr>
        <w:spacing w:after="80"/>
      </w:pPr>
      <w:r>
        <w:rPr>
          <w:b/>
          <w:bCs/>
        </w:rPr>
        <w:t xml:space="preserve">Specifications: </w:t>
      </w:r>
      <w:r>
        <w:t xml:space="preserve">2 vCPU, 4GB RAM, 50GB SSD</w:t>
      </w:r>
    </w:p>
    <w:p>
      <w:pPr>
        <w:spacing w:after="80"/>
      </w:pPr>
      <w:r>
        <w:rPr>
          <w:b/>
          <w:bCs/>
        </w:rPr>
        <w:t xml:space="preserve">Purpose: </w:t>
      </w:r>
      <w:r>
        <w:t xml:space="preserve">MANDATORY local storage per UU PDP 2022</w:t>
      </w:r>
    </w:p>
    <w:p>
      <w:pPr>
        <w:pStyle w:val="Heading3"/>
      </w:pPr>
      <w:r>
        <w:t xml:space="preserve">Services Hosted</w:t>
      </w:r>
    </w:p>
    <w:p>
      <w:pPr>
        <w:spacing w:after="120"/>
      </w:pPr>
      <w:r>
        <w:t xml:space="preserve">• PostgreSQL (Indonesia employee data - MANDATORY)</w:t>
      </w:r>
    </w:p>
    <w:p>
      <w:pPr>
        <w:spacing w:after="120"/>
      </w:pPr>
      <w:r>
        <w:t xml:space="preserve">• WireGuard VPN peer</w:t>
      </w:r>
    </w:p>
    <w:p>
      <w:pPr>
        <w:spacing w:after="120"/>
      </w:pPr>
      <w:r>
        <w:t xml:space="preserve">• Local nginx proxy</w:t>
      </w:r>
    </w:p>
    <w:p>
      <w:pPr>
        <w:pStyle w:val="Heading2"/>
      </w:pPr>
      <w:r>
        <w:t xml:space="preserve">5.5 Thailand Data Plane (+ Laos)</w:t>
      </w:r>
    </w:p>
    <w:p>
      <w:pPr>
        <w:spacing w:after="80"/>
      </w:pPr>
      <w:r>
        <w:rPr>
          <w:b/>
          <w:bCs/>
        </w:rPr>
        <w:t xml:space="preserve">Provider: </w:t>
      </w:r>
      <w:r>
        <w:t xml:space="preserve">Linode Bangkok</w:t>
      </w:r>
    </w:p>
    <w:p>
      <w:pPr>
        <w:spacing w:after="80"/>
      </w:pPr>
      <w:r>
        <w:rPr>
          <w:b/>
          <w:bCs/>
        </w:rPr>
        <w:t xml:space="preserve">Monthly Cost: </w:t>
      </w:r>
      <w:r>
        <w:t xml:space="preserve">$12 (shared between Thailand and Laos)</w:t>
      </w:r>
    </w:p>
    <w:p>
      <w:pPr>
        <w:spacing w:after="80"/>
      </w:pPr>
      <w:r>
        <w:rPr>
          <w:b/>
          <w:bCs/>
        </w:rPr>
        <w:t xml:space="preserve">Specifications: </w:t>
      </w:r>
      <w:r>
        <w:t xml:space="preserve">2 vCPU, 4GB RAM, 50GB SSD</w:t>
      </w:r>
    </w:p>
    <w:p>
      <w:pPr>
        <w:spacing w:after="80"/>
      </w:pPr>
      <w:r>
        <w:rPr>
          <w:b/>
          <w:bCs/>
        </w:rPr>
        <w:t xml:space="preserve">Purpose: </w:t>
      </w:r>
      <w:r>
        <w:t xml:space="preserve">Local storage for Thailand, regional proxy for Laos</w:t>
      </w:r>
    </w:p>
    <w:p>
      <w:pPr>
        <w:pStyle w:val="Heading3"/>
      </w:pPr>
      <w:r>
        <w:t xml:space="preserve">Services Hosted</w:t>
      </w:r>
    </w:p>
    <w:p>
      <w:pPr>
        <w:spacing w:after="120"/>
      </w:pPr>
      <w:r>
        <w:t xml:space="preserve">• PostgreSQL (Thailand employee data)</w:t>
      </w:r>
    </w:p>
    <w:p>
      <w:pPr>
        <w:spacing w:after="120"/>
      </w:pPr>
      <w:r>
        <w:t xml:space="preserve">• PostgreSQL (Laos employee data - no local requirement)</w:t>
      </w:r>
    </w:p>
    <w:p>
      <w:pPr>
        <w:spacing w:after="120"/>
      </w:pPr>
      <w:r>
        <w:t xml:space="preserve">• WireGuard VPN peer</w:t>
      </w:r>
    </w:p>
    <w:p>
      <w:pPr>
        <w:spacing w:after="120"/>
      </w:pPr>
      <w:r>
        <w:t xml:space="preserve">• Local nginx proxy</w:t>
      </w:r>
    </w:p>
    <w:p>
      <w:pPr>
        <w:pStyle w:val="Heading3"/>
      </w:pPr>
      <w:r>
        <w:t xml:space="preserve">Laos Data Handling</w:t>
      </w:r>
    </w:p>
    <w:p>
      <w:pPr>
        <w:spacing w:after="120"/>
      </w:pPr>
      <w:r>
        <w:t xml:space="preserve">Laos Electronic Data Protection Law (2017) does not mandate local storage. Cross-border transfer requires consent mechanism. Thailand VPS provides excellent latency to Vientiane and other Lao cities.</w:t>
      </w:r>
    </w:p>
    <w:p>
      <w:pPr>
        <w:pStyle w:val="Heading2"/>
      </w:pPr>
      <w:r>
        <w:t xml:space="preserve">5.6 Vietnam Data Plane (+ Cambodia)</w:t>
      </w:r>
    </w:p>
    <w:p>
      <w:pPr>
        <w:spacing w:after="80"/>
      </w:pPr>
      <w:r>
        <w:rPr>
          <w:b/>
          <w:bCs/>
        </w:rPr>
        <w:t xml:space="preserve">Provider: </w:t>
      </w:r>
      <w:r>
        <w:t xml:space="preserve">VNETWORK Ho Chi Minh City</w:t>
      </w:r>
    </w:p>
    <w:p>
      <w:pPr>
        <w:spacing w:after="80"/>
      </w:pPr>
      <w:r>
        <w:rPr>
          <w:b/>
          <w:bCs/>
        </w:rPr>
        <w:t xml:space="preserve">Monthly Cost: </w:t>
      </w:r>
      <w:r>
        <w:t xml:space="preserve">$15 (shared between Vietnam and Cambodia)</w:t>
      </w:r>
    </w:p>
    <w:p>
      <w:pPr>
        <w:spacing w:after="80"/>
      </w:pPr>
      <w:r>
        <w:rPr>
          <w:b/>
          <w:bCs/>
        </w:rPr>
        <w:t xml:space="preserve">Specifications: </w:t>
      </w:r>
      <w:r>
        <w:t xml:space="preserve">2 vCPU, 4GB RAM, 50GB SSD</w:t>
      </w:r>
    </w:p>
    <w:p>
      <w:pPr>
        <w:spacing w:after="80"/>
      </w:pPr>
      <w:r>
        <w:rPr>
          <w:b/>
          <w:bCs/>
        </w:rPr>
        <w:t xml:space="preserve">Purpose: </w:t>
      </w:r>
      <w:r>
        <w:t xml:space="preserve">MANDATORY local storage per Decree 13/2023, regional proxy for Cambodia</w:t>
      </w:r>
    </w:p>
    <w:p>
      <w:pPr>
        <w:pStyle w:val="Heading3"/>
      </w:pPr>
      <w:r>
        <w:t xml:space="preserve">Services Hosted</w:t>
      </w:r>
    </w:p>
    <w:p>
      <w:pPr>
        <w:spacing w:after="120"/>
      </w:pPr>
      <w:r>
        <w:t xml:space="preserve">• PostgreSQL (Vietnam employee data - MANDATORY)</w:t>
      </w:r>
    </w:p>
    <w:p>
      <w:pPr>
        <w:spacing w:after="120"/>
      </w:pPr>
      <w:r>
        <w:t xml:space="preserve">• PostgreSQL (Cambodia employee data - no local requirement)</w:t>
      </w:r>
    </w:p>
    <w:p>
      <w:pPr>
        <w:spacing w:after="120"/>
      </w:pPr>
      <w:r>
        <w:t xml:space="preserve">• WireGuard VPN peer</w:t>
      </w:r>
    </w:p>
    <w:p>
      <w:pPr>
        <w:spacing w:after="120"/>
      </w:pPr>
      <w:r>
        <w:t xml:space="preserve">• Local nginx proxy</w:t>
      </w:r>
    </w:p>
    <w:p>
      <w:pPr>
        <w:pStyle w:val="Heading3"/>
      </w:pPr>
      <w:r>
        <w:t xml:space="preserve">Cambodia Data Handling</w:t>
      </w:r>
    </w:p>
    <w:p>
      <w:pPr>
        <w:spacing w:after="120"/>
      </w:pPr>
      <w:r>
        <w:t xml:space="preserve">Cambodia currently has NO comprehensive data protection law. Draft LPDP announced July 2025 but not enacted. Vietnam VPS provides excellent connectivity to Phnom Penh. Monitor draft law for future data residency requirements.</w:t>
      </w:r>
    </w:p>
    <w:p>
      <w:pPr>
        <w:pStyle w:val="Heading2"/>
      </w:pPr>
      <w:r>
        <w:t xml:space="preserve">5.7 WireGuard VPN Mesh</w:t>
      </w:r>
    </w:p>
    <w:p>
      <w:pPr>
        <w:spacing w:after="80"/>
      </w:pPr>
      <w:r>
        <w:rPr>
          <w:b/>
          <w:bCs/>
        </w:rPr>
        <w:t xml:space="preserve">Network: </w:t>
      </w:r>
      <w:r>
        <w:t xml:space="preserve">10.10.0.0/16</w:t>
      </w:r>
    </w:p>
    <w:p>
      <w:pPr>
        <w:spacing w:after="80"/>
      </w:pPr>
      <w:r>
        <w:rPr>
          <w:b/>
          <w:bCs/>
        </w:rPr>
        <w:t xml:space="preserve">Hub IP: </w:t>
      </w:r>
      <w:r>
        <w:t xml:space="preserve">10.10.0.1 (Malaysia)</w:t>
      </w:r>
    </w:p>
    <w:p>
      <w:pPr>
        <w:pStyle w:val="Heading3"/>
      </w:pPr>
      <w:r>
        <w:t xml:space="preserve">Peer Allocation</w:t>
      </w:r>
    </w:p>
    <w:p>
      <w:pPr>
        <w:spacing w:after="120"/>
      </w:pPr>
      <w:r>
        <w:t xml:space="preserve">• 10.10.1.0/24 - Singapore</w:t>
      </w:r>
    </w:p>
    <w:p>
      <w:pPr>
        <w:spacing w:after="120"/>
      </w:pPr>
      <w:r>
        <w:t xml:space="preserve">• 10.10.2.0/24 - Indonesia</w:t>
      </w:r>
    </w:p>
    <w:p>
      <w:pPr>
        <w:spacing w:after="120"/>
      </w:pPr>
      <w:r>
        <w:t xml:space="preserve">• 10.10.3.0/24 - Thailand (+ Laos)</w:t>
      </w:r>
    </w:p>
    <w:p>
      <w:pPr>
        <w:spacing w:after="120"/>
      </w:pPr>
      <w:r>
        <w:t xml:space="preserve">• 10.10.4.0/24 - Vietnam (+ Cambodia)</w:t>
      </w:r>
    </w:p>
    <w:p>
      <w:pPr>
        <w:pStyle w:val="Heading3"/>
      </w:pPr>
      <w:r>
        <w:t xml:space="preserve">Key Features</w:t>
      </w:r>
    </w:p>
    <w:p>
      <w:pPr>
        <w:spacing w:after="120"/>
      </w:pPr>
      <w:r>
        <w:t xml:space="preserve">• Encrypted inter-region communication</w:t>
      </w:r>
    </w:p>
    <w:p>
      <w:pPr>
        <w:spacing w:after="120"/>
      </w:pPr>
      <w:r>
        <w:t xml:space="preserve">• Automatic failover detection</w:t>
      </w:r>
    </w:p>
    <w:p>
      <w:pPr>
        <w:spacing w:after="120"/>
      </w:pPr>
      <w:r>
        <w:t xml:space="preserve">• Split-horizon DNS for regional routing</w:t>
      </w:r>
    </w:p>
    <w:p>
      <w:pPr>
        <w:spacing w:after="120"/>
      </w:pPr>
      <w:r>
        <w:t xml:space="preserve">• Central management from Malaysia hub</w:t>
      </w:r>
    </w:p>
    <w:p>
      <w:r>
        <w:br w:type="page"/>
      </w:r>
    </w:p>
    <w:p>
      <w:pPr>
        <w:pStyle w:val="Heading1"/>
      </w:pPr>
      <w:r>
        <w:t xml:space="preserve">6. Database Architecture</w:t>
      </w:r>
    </w:p>
    <w:p>
      <w:pPr>
        <w:pStyle w:val="Heading2"/>
      </w:pPr>
      <w:r>
        <w:t xml:space="preserve">6.1 Data Classification</w:t>
      </w:r>
    </w:p>
    <w:p>
      <w:pPr>
        <w:spacing w:after="120"/>
      </w:pPr>
      <w:r>
        <w:t xml:space="preserve">KerjaFlow data is classified into CENTRAL (shared across regions) and REGIONAL (country-specific, stored locally where required).</w:t>
      </w:r>
    </w:p>
    <w:p>
      <w:pPr>
        <w:pStyle w:val="Heading3"/>
      </w:pPr>
      <w:r>
        <w:t xml:space="preserve">CENTRAL Tables (Malaysia Hub Only)</w:t>
      </w:r>
    </w:p>
    <w:p>
      <w:pPr>
        <w:spacing w:after="120"/>
      </w:pPr>
      <w:r>
        <w:t xml:space="preserve">• kf_company - Company master data</w:t>
      </w:r>
    </w:p>
    <w:p>
      <w:pPr>
        <w:spacing w:after="120"/>
      </w:pPr>
      <w:r>
        <w:t xml:space="preserve">• kf_department - Department structure</w:t>
      </w:r>
    </w:p>
    <w:p>
      <w:pPr>
        <w:spacing w:after="120"/>
      </w:pPr>
      <w:r>
        <w:t xml:space="preserve">• kf_job_position - Job positions</w:t>
      </w:r>
    </w:p>
    <w:p>
      <w:pPr>
        <w:spacing w:after="120"/>
      </w:pPr>
      <w:r>
        <w:t xml:space="preserve">• kf_leave_type - Leave type definitions</w:t>
      </w:r>
    </w:p>
    <w:p>
      <w:pPr>
        <w:spacing w:after="120"/>
      </w:pPr>
      <w:r>
        <w:t xml:space="preserve">• kf_public_holiday - Public holiday calendar</w:t>
      </w:r>
    </w:p>
    <w:p>
      <w:pPr>
        <w:spacing w:after="120"/>
      </w:pPr>
      <w:r>
        <w:t xml:space="preserve">• kf_country_config - Country configurations</w:t>
      </w:r>
    </w:p>
    <w:p>
      <w:pPr>
        <w:spacing w:after="120"/>
      </w:pPr>
      <w:r>
        <w:t xml:space="preserve">• kf_statutory_rate - Statutory contribution rates</w:t>
      </w:r>
    </w:p>
    <w:p>
      <w:pPr>
        <w:pStyle w:val="Heading3"/>
      </w:pPr>
      <w:r>
        <w:t xml:space="preserve">REGIONAL Tables (Per-Country Data Plane)</w:t>
      </w:r>
    </w:p>
    <w:p>
      <w:pPr>
        <w:spacing w:after="120"/>
      </w:pPr>
      <w:r>
        <w:t xml:space="preserve">• kf_employee - Employee personal data</w:t>
      </w:r>
    </w:p>
    <w:p>
      <w:pPr>
        <w:spacing w:after="120"/>
      </w:pPr>
      <w:r>
        <w:t xml:space="preserve">• kf_user - User credentials and sessions</w:t>
      </w:r>
    </w:p>
    <w:p>
      <w:pPr>
        <w:spacing w:after="120"/>
      </w:pPr>
      <w:r>
        <w:t xml:space="preserve">• kf_foreign_worker_detail - Foreign worker permits</w:t>
      </w:r>
    </w:p>
    <w:p>
      <w:pPr>
        <w:spacing w:after="120"/>
      </w:pPr>
      <w:r>
        <w:t xml:space="preserve">• kf_document - Document storage references</w:t>
      </w:r>
    </w:p>
    <w:p>
      <w:pPr>
        <w:spacing w:after="120"/>
      </w:pPr>
      <w:r>
        <w:t xml:space="preserve">• kf_payslip - Payslip records</w:t>
      </w:r>
    </w:p>
    <w:p>
      <w:pPr>
        <w:spacing w:after="120"/>
      </w:pPr>
      <w:r>
        <w:t xml:space="preserve">• kf_payslip_line - Payslip line items</w:t>
      </w:r>
    </w:p>
    <w:p>
      <w:pPr>
        <w:spacing w:after="120"/>
      </w:pPr>
      <w:r>
        <w:t xml:space="preserve">• kf_leave_balance - Leave balances</w:t>
      </w:r>
    </w:p>
    <w:p>
      <w:pPr>
        <w:spacing w:after="120"/>
      </w:pPr>
      <w:r>
        <w:t xml:space="preserve">• kf_leave_request - Leave requests</w:t>
      </w:r>
    </w:p>
    <w:p>
      <w:pPr>
        <w:spacing w:after="120"/>
      </w:pPr>
      <w:r>
        <w:t xml:space="preserve">• kf_notification - User notifications</w:t>
      </w:r>
    </w:p>
    <w:p>
      <w:pPr>
        <w:spacing w:after="120"/>
      </w:pPr>
      <w:r>
        <w:t xml:space="preserve">• kf_audit_log - Audit trail</w:t>
      </w:r>
    </w:p>
    <w:p>
      <w:pPr>
        <w:pStyle w:val="Heading2"/>
      </w:pPr>
      <w:r>
        <w:t xml:space="preserve">6.2 Country Configuration Table</w:t>
      </w:r>
    </w:p>
    <w:p>
      <w:pPr>
        <w:spacing w:after="120"/>
      </w:pPr>
      <w:r>
        <w:t xml:space="preserve">kf_country_config stores country-specific settings for all 9 ASEAN countries.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000"/>
        <w:gridCol w:w="19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Flag</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Data Plane</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Currency</w:t>
            </w:r>
          </w:p>
        </w:tc>
        <w:tc>
          <w:tcPr>
            <w:tcW w:type="dxa" w:w="19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Timezone</w:t>
            </w:r>
          </w:p>
        </w:tc>
      </w:tr>
      <w:tr>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MY</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Malaysia Hub</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MYR</w:t>
            </w:r>
          </w:p>
        </w:tc>
        <w:tc>
          <w:tcPr>
            <w:tcW w:type="dxa" w:w="1960"/>
            <w:tcBorders>
              <w:top w:val="single" w:color="CCCCCC" w:sz="1"/>
              <w:left w:val="single" w:color="CCCCCC" w:sz="1"/>
              <w:bottom w:val="single" w:color="CCCCCC" w:sz="1"/>
              <w:right w:val="single" w:color="CCCCCC" w:sz="1"/>
            </w:tcBorders>
          </w:tcPr>
          <w:p>
            <w:pPr>
              <w:spacing w:before="40" w:after="40"/>
            </w:pPr>
            <w:r>
              <w:rPr>
                <w:sz w:val="20"/>
                <w:szCs w:val="20"/>
              </w:rPr>
              <w:t xml:space="preserve">Asia/Kuala_Lumpur</w:t>
            </w:r>
          </w:p>
        </w:tc>
      </w:tr>
      <w:tr>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SG</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Singapore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SGD</w:t>
            </w:r>
          </w:p>
        </w:tc>
        <w:tc>
          <w:tcPr>
            <w:tcW w:type="dxa" w:w="19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Asia/Singapore</w:t>
            </w:r>
          </w:p>
        </w:tc>
      </w:tr>
      <w:tr>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ID</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Indonesia</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IDR</w:t>
            </w:r>
          </w:p>
        </w:tc>
        <w:tc>
          <w:tcPr>
            <w:tcW w:type="dxa" w:w="1960"/>
            <w:tcBorders>
              <w:top w:val="single" w:color="CCCCCC" w:sz="1"/>
              <w:left w:val="single" w:color="CCCCCC" w:sz="1"/>
              <w:bottom w:val="single" w:color="CCCCCC" w:sz="1"/>
              <w:right w:val="single" w:color="CCCCCC" w:sz="1"/>
            </w:tcBorders>
          </w:tcPr>
          <w:p>
            <w:pPr>
              <w:spacing w:before="40" w:after="40"/>
            </w:pPr>
            <w:r>
              <w:rPr>
                <w:sz w:val="20"/>
                <w:szCs w:val="20"/>
              </w:rPr>
              <w:t xml:space="preserve">Asia/Jakarta</w:t>
            </w:r>
          </w:p>
        </w:tc>
      </w:tr>
      <w:tr>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Thailand</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THB</w:t>
            </w:r>
          </w:p>
        </w:tc>
        <w:tc>
          <w:tcPr>
            <w:tcW w:type="dxa" w:w="19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Asia/Bangkok</w:t>
            </w:r>
          </w:p>
        </w:tc>
      </w:tr>
      <w:tr>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VN</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Vietnam</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VND</w:t>
            </w:r>
          </w:p>
        </w:tc>
        <w:tc>
          <w:tcPr>
            <w:tcW w:type="dxa" w:w="1960"/>
            <w:tcBorders>
              <w:top w:val="single" w:color="CCCCCC" w:sz="1"/>
              <w:left w:val="single" w:color="CCCCCC" w:sz="1"/>
              <w:bottom w:val="single" w:color="CCCCCC" w:sz="1"/>
              <w:right w:val="single" w:color="CCCCCC" w:sz="1"/>
            </w:tcBorders>
          </w:tcPr>
          <w:p>
            <w:pPr>
              <w:spacing w:before="40" w:after="40"/>
            </w:pPr>
            <w:r>
              <w:rPr>
                <w:sz w:val="20"/>
                <w:szCs w:val="20"/>
              </w:rPr>
              <w:t xml:space="preserve">Asia/Ho_Chi_Minh</w:t>
            </w:r>
          </w:p>
        </w:tc>
      </w:tr>
      <w:tr>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PH</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Malaysia Hub</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PHP</w:t>
            </w:r>
          </w:p>
        </w:tc>
        <w:tc>
          <w:tcPr>
            <w:tcW w:type="dxa" w:w="19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Asia/Manila</w:t>
            </w:r>
          </w:p>
        </w:tc>
      </w:tr>
      <w:tr>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LA</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Thailand</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LAK</w:t>
            </w:r>
          </w:p>
        </w:tc>
        <w:tc>
          <w:tcPr>
            <w:tcW w:type="dxa" w:w="1960"/>
            <w:tcBorders>
              <w:top w:val="single" w:color="CCCCCC" w:sz="1"/>
              <w:left w:val="single" w:color="CCCCCC" w:sz="1"/>
              <w:bottom w:val="single" w:color="CCCCCC" w:sz="1"/>
              <w:right w:val="single" w:color="CCCCCC" w:sz="1"/>
            </w:tcBorders>
          </w:tcPr>
          <w:p>
            <w:pPr>
              <w:spacing w:before="40" w:after="40"/>
            </w:pPr>
            <w:r>
              <w:rPr>
                <w:sz w:val="20"/>
                <w:szCs w:val="20"/>
              </w:rPr>
              <w:t xml:space="preserve">Asia/Vientiane</w:t>
            </w:r>
          </w:p>
        </w:tc>
      </w:tr>
      <w:tr>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w:t>
            </w:r>
          </w:p>
        </w:tc>
        <w:tc>
          <w:tcPr>
            <w:tcW w:type="dxa" w:w="12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Vietnam</w:t>
            </w:r>
          </w:p>
        </w:tc>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KHR</w:t>
            </w:r>
          </w:p>
        </w:tc>
        <w:tc>
          <w:tcPr>
            <w:tcW w:type="dxa" w:w="19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Asia/Phnom_Penh</w:t>
            </w:r>
          </w:p>
        </w:tc>
      </w:tr>
      <w:tr>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BN</w:t>
            </w:r>
          </w:p>
        </w:tc>
        <w:tc>
          <w:tcPr>
            <w:tcW w:type="dxa" w:w="1200"/>
            <w:tcBorders>
              <w:top w:val="single" w:color="CCCCCC" w:sz="1"/>
              <w:left w:val="single" w:color="CCCCCC" w:sz="1"/>
              <w:bottom w:val="single" w:color="CCCCCC" w:sz="1"/>
              <w:right w:val="single" w:color="CCCCCC" w:sz="1"/>
            </w:tcBorders>
          </w:tcPr>
          <w:p>
            <w:pPr>
              <w:spacing w:before="40" w:after="40"/>
            </w:pPr>
            <w:r>
              <w:rPr>
                <w:sz w:val="20"/>
                <w:szCs w:val="20"/>
              </w:rPr>
              <w:t xml:space="preserve">🇧🇳</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Malaysia Hub</w:t>
            </w:r>
          </w:p>
        </w:tc>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BND</w:t>
            </w:r>
          </w:p>
        </w:tc>
        <w:tc>
          <w:tcPr>
            <w:tcW w:type="dxa" w:w="1960"/>
            <w:tcBorders>
              <w:top w:val="single" w:color="CCCCCC" w:sz="1"/>
              <w:left w:val="single" w:color="CCCCCC" w:sz="1"/>
              <w:bottom w:val="single" w:color="CCCCCC" w:sz="1"/>
              <w:right w:val="single" w:color="CCCCCC" w:sz="1"/>
            </w:tcBorders>
          </w:tcPr>
          <w:p>
            <w:pPr>
              <w:spacing w:before="40" w:after="40"/>
            </w:pPr>
            <w:r>
              <w:rPr>
                <w:sz w:val="20"/>
                <w:szCs w:val="20"/>
              </w:rPr>
              <w:t xml:space="preserve">Asia/Brunei</w:t>
            </w:r>
          </w:p>
        </w:tc>
      </w:tr>
    </w:tbl>
    <w:p>
      <w:pPr>
        <w:pStyle w:val="Heading2"/>
      </w:pPr>
      <w:r>
        <w:t xml:space="preserve">6.3 Statutory Rate Table Structure</w:t>
      </w:r>
    </w:p>
    <w:p>
      <w:pPr>
        <w:spacing w:after="120"/>
      </w:pPr>
      <w:r>
        <w:t xml:space="preserve">kf_statutory_rate stores contribution rates for all 9 countries.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8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Country + System</w:t>
            </w:r>
          </w:p>
        </w:tc>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Employee %</w:t>
            </w:r>
          </w:p>
        </w:tc>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Employer %</w:t>
            </w:r>
          </w:p>
        </w:tc>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Salary Cap</w:t>
            </w:r>
          </w:p>
        </w:tc>
        <w:tc>
          <w:tcPr>
            <w:tcW w:type="dxa" w:w="1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Effective Date</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MY - EPF</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11.0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12.0-13.0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No cap</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MY - SOCSO</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0.5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1.25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5000 MYR</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MY - EIS</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0.2</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0.2</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5000 MYR</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SG - CPF</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17.0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6800 SGD</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ID - BPJS TK</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2.0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3.7</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Various</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ID - BPJS Kes</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12000000 IDR</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TH - SSF</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5.0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5.0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15000 THB</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VN - SI</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17.5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20x min</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VN - HI</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1.5</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3.0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20x min</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VN - UI</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20x min</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PH - SSS</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4.5</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9.5</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30000 PHP</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PH - PhilHealth</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100000 PHP</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PH - HDMF</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2.0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2.0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5000 PHP</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LA - LSSO</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5.0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4500000 LAK</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2024-10-01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KH - NSSF Risk</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0.0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0.8</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1200000 KHR</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 - NSSF Health</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0.0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2.6</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1200000 KHR</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2024-01-01</w:t>
            </w:r>
          </w:p>
        </w:tc>
      </w:tr>
      <w:tr>
        <w:tc>
          <w:tcPr>
            <w:tcW w:type="dxa" w:w="2000"/>
            <w:tcBorders>
              <w:top w:val="single" w:color="CCCCCC" w:sz="1"/>
              <w:left w:val="single" w:color="CCCCCC" w:sz="1"/>
              <w:bottom w:val="single" w:color="CCCCCC" w:sz="1"/>
              <w:right w:val="single" w:color="CCCCCC" w:sz="1"/>
            </w:tcBorders>
          </w:tcPr>
          <w:p>
            <w:pPr>
              <w:spacing w:before="40" w:after="40"/>
            </w:pPr>
            <w:r>
              <w:rPr>
                <w:sz w:val="20"/>
                <w:szCs w:val="20"/>
              </w:rPr>
              <w:t xml:space="preserve">KH - NSSF Pension</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2.0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2.0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1200000 KHR</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2022-10-01</w:t>
            </w:r>
          </w:p>
        </w:tc>
      </w:tr>
      <w:tr>
        <w:tc>
          <w:tcPr>
            <w:tcW w:type="dxa" w:w="2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BN - SPK</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8.5</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No cap</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2023-07-15</w:t>
            </w:r>
          </w:p>
        </w:tc>
      </w:tr>
    </w:tbl>
    <w:p>
      <w:r>
        <w:br w:type="page"/>
      </w:r>
    </w:p>
    <w:p>
      <w:pPr>
        <w:pStyle w:val="Heading1"/>
      </w:pPr>
      <w:r>
        <w:t xml:space="preserve">7. Mobile Localization</w:t>
      </w:r>
    </w:p>
    <w:p>
      <w:pPr>
        <w:pStyle w:val="Heading2"/>
      </w:pPr>
      <w:r>
        <w:t xml:space="preserve">7.1 Supported Languages</w:t>
      </w:r>
    </w:p>
    <w:p>
      <w:pPr>
        <w:spacing w:after="120"/>
      </w:pPr>
      <w:r>
        <w:t xml:space="preserve">KerjaFlow v3.0 supports 11 languages to serve the diverse ASEAN workforce.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860"/>
      </w:tblGrid>
      <w:tr>
        <w:trPr>
          <w:tblHeader/>
        </w:trPr>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Locale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Language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Script</w:t>
            </w:r>
          </w:p>
        </w:tc>
        <w:tc>
          <w:tcPr>
            <w:tcW w:type="dxa" w:w="1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Countries</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en</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English</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Latin</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All</w:t>
            </w:r>
          </w:p>
        </w:tc>
      </w:tr>
      <w:tr>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ms_MY</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Bahasa Malaysia</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Latin</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MY, BN</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id_ID</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Bahasa Indonesia</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Latin</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ID</w:t>
            </w:r>
          </w:p>
        </w:tc>
      </w:tr>
      <w:tr>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zh_CN</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Simplified Chinese</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Han Simplified</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SG, MY</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ta_IN</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Tamil</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Tamil</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MY, SG</w:t>
            </w:r>
          </w:p>
        </w:tc>
      </w:tr>
      <w:tr>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th_TH</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Thai</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Thai</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vi_VN</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Vietnamese</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Latin (diacritics)</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VN</w:t>
            </w:r>
          </w:p>
        </w:tc>
      </w:tr>
      <w:tr>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tl_PH</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Filipino/Tagalog</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Latin</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PH</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lo_LA</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Lao (ພາສາລາວ)</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Lao</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LA</w:t>
            </w:r>
          </w:p>
        </w:tc>
      </w:tr>
      <w:tr>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km_KH</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Khmer (ភាសាខ្មែរ)</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Khmer</w:t>
            </w:r>
          </w:p>
        </w:tc>
        <w:tc>
          <w:tcPr>
            <w:tcW w:type="dxa" w:w="1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KH</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bn_BD</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Bengali</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Bengali</w:t>
            </w:r>
          </w:p>
        </w:tc>
        <w:tc>
          <w:tcPr>
            <w:tcW w:type="dxa" w:w="1860"/>
            <w:tcBorders>
              <w:top w:val="single" w:color="CCCCCC" w:sz="1"/>
              <w:left w:val="single" w:color="CCCCCC" w:sz="1"/>
              <w:bottom w:val="single" w:color="CCCCCC" w:sz="1"/>
              <w:right w:val="single" w:color="CCCCCC" w:sz="1"/>
            </w:tcBorders>
          </w:tcPr>
          <w:p>
            <w:pPr>
              <w:spacing w:before="40" w:after="40"/>
            </w:pPr>
            <w:r>
              <w:rPr>
                <w:sz w:val="20"/>
                <w:szCs w:val="20"/>
              </w:rPr>
              <w:t xml:space="preserve">Migrant workers</w:t>
            </w:r>
          </w:p>
        </w:tc>
      </w:tr>
    </w:tbl>
    <w:p>
      <w:pPr>
        <w:pStyle w:val="Heading2"/>
      </w:pPr>
      <w:r>
        <w:t xml:space="preserve">7.2 New Script Requirements</w:t>
      </w:r>
    </w:p>
    <w:p>
      <w:pPr>
        <w:pStyle w:val="Heading3"/>
      </w:pPr>
      <w:r>
        <w:t xml:space="preserve">Lao Script (ພາສາລາວ)</w:t>
      </w:r>
    </w:p>
    <w:p>
      <w:pPr>
        <w:spacing w:after="120"/>
      </w:pPr>
      <w:r>
        <w:t xml:space="preserve">• Unicode range: U+0E80 to U+0EFF</w:t>
      </w:r>
    </w:p>
    <w:p>
      <w:pPr>
        <w:spacing w:after="120"/>
      </w:pPr>
      <w:r>
        <w:t xml:space="preserve">• Font family: Noto Sans Lao, Phetsarath OT</w:t>
      </w:r>
    </w:p>
    <w:p>
      <w:pPr>
        <w:spacing w:after="120"/>
      </w:pPr>
      <w:r>
        <w:t xml:space="preserve">• Text direction: Left-to-right</w:t>
      </w:r>
    </w:p>
    <w:p>
      <w:pPr>
        <w:spacing w:after="120"/>
      </w:pPr>
      <w:r>
        <w:t xml:space="preserve">• Note: Distinct from Thai script despite visual similarities</w:t>
      </w:r>
    </w:p>
    <w:p>
      <w:pPr>
        <w:pStyle w:val="Heading3"/>
      </w:pPr>
      <w:r>
        <w:t xml:space="preserve">Khmer Script (អក្សរខ្មែរ)</w:t>
      </w:r>
    </w:p>
    <w:p>
      <w:pPr>
        <w:spacing w:after="120"/>
      </w:pPr>
      <w:r>
        <w:t xml:space="preserve">• Unicode range: U+1780 to U+17FF, U+19E0 to U+19FF (symbols)</w:t>
      </w:r>
    </w:p>
    <w:p>
      <w:pPr>
        <w:spacing w:after="120"/>
      </w:pPr>
      <w:r>
        <w:t xml:space="preserve">• Font family: Noto Sans Khmer, Khmer OS</w:t>
      </w:r>
    </w:p>
    <w:p>
      <w:pPr>
        <w:spacing w:after="120"/>
      </w:pPr>
      <w:r>
        <w:t xml:space="preserve">• Text direction: Left-to-right</w:t>
      </w:r>
    </w:p>
    <w:p>
      <w:pPr>
        <w:spacing w:after="120"/>
      </w:pPr>
      <w:r>
        <w:t xml:space="preserve">• Note: Complex script with subscript consonants and vowel stacking</w:t>
      </w:r>
    </w:p>
    <w:p>
      <w:pPr>
        <w:pStyle w:val="Heading2"/>
      </w:pPr>
      <w:r>
        <w:t xml:space="preserve">7.3 Brunei Malay</w:t>
      </w:r>
    </w:p>
    <w:p>
      <w:pPr>
        <w:spacing w:after="120"/>
      </w:pPr>
      <w:r>
        <w:t xml:space="preserve">Brunei Malay (Bahasa Melayu Brunei) is linguistically identical to Malaysian Malay for written communication. The ms_MY locale is reused for Brunei users.</w:t>
      </w:r>
    </w:p>
    <w:p>
      <w:pPr>
        <w:spacing w:after="80"/>
      </w:pPr>
      <w:r>
        <w:rPr>
          <w:b/>
          <w:bCs/>
        </w:rPr>
        <w:t xml:space="preserve">Differences: </w:t>
      </w:r>
      <w:r>
        <w:t xml:space="preserve">Minor vocabulary variations (e.g., 'awang' vs 'encik' for Mr.)</w:t>
      </w:r>
    </w:p>
    <w:p>
      <w:pPr>
        <w:spacing w:after="80"/>
      </w:pPr>
      <w:r>
        <w:rPr>
          <w:b/>
          <w:bCs/>
        </w:rPr>
        <w:t xml:space="preserve">Action: </w:t>
      </w:r>
      <w:r>
        <w:t xml:space="preserve">No separate locale required - use ms_MY</w:t>
      </w:r>
    </w:p>
    <w:p>
      <w:r>
        <w:br w:type="page"/>
      </w:r>
    </w:p>
    <w:p>
      <w:pPr>
        <w:pStyle w:val="Heading1"/>
      </w:pPr>
      <w:r>
        <w:t xml:space="preserve">8. Compliance Verification Checklist</w:t>
      </w:r>
    </w:p>
    <w:p>
      <w:pPr>
        <w:pStyle w:val="Heading2"/>
      </w:pPr>
      <w:r>
        <w:t xml:space="preserve">8.1 Pre-Deployment Checklist</w:t>
      </w:r>
    </w:p>
    <w:p>
      <w:pPr>
        <w:pStyle w:val="Heading3"/>
      </w:pPr>
      <w:r>
        <w:t xml:space="preserve">Malaysia</w:t>
      </w:r>
    </w:p>
    <w:p>
      <w:pPr>
        <w:spacing w:after="120"/>
      </w:pPr>
      <w:r>
        <w:t xml:space="preserve">☐ JPDP data user registration completed</w:t>
      </w:r>
    </w:p>
    <w:p>
      <w:pPr>
        <w:spacing w:after="120"/>
      </w:pPr>
      <w:r>
        <w:t xml:space="preserve">☐ Privacy policy published in Malay and English</w:t>
      </w:r>
    </w:p>
    <w:p>
      <w:pPr>
        <w:spacing w:after="120"/>
      </w:pPr>
      <w:r>
        <w:t xml:space="preserve">☐ Consent mechanism implemented</w:t>
      </w:r>
    </w:p>
    <w:p>
      <w:pPr>
        <w:spacing w:after="120"/>
      </w:pPr>
      <w:r>
        <w:t xml:space="preserve">☐ EPF, SOCSO, EIS employer registration</w:t>
      </w:r>
    </w:p>
    <w:p>
      <w:pPr>
        <w:pStyle w:val="Heading3"/>
      </w:pPr>
      <w:r>
        <w:t xml:space="preserve">Singapore</w:t>
      </w:r>
    </w:p>
    <w:p>
      <w:pPr>
        <w:spacing w:after="120"/>
      </w:pPr>
      <w:r>
        <w:t xml:space="preserve">☐ PDPC registration (if applicable)</w:t>
      </w:r>
    </w:p>
    <w:p>
      <w:pPr>
        <w:spacing w:after="120"/>
      </w:pPr>
      <w:r>
        <w:t xml:space="preserve">☐ DPO appointed</w:t>
      </w:r>
    </w:p>
    <w:p>
      <w:pPr>
        <w:spacing w:after="120"/>
      </w:pPr>
      <w:r>
        <w:t xml:space="preserve">☐ Breach notification procedure documented</w:t>
      </w:r>
    </w:p>
    <w:p>
      <w:pPr>
        <w:spacing w:after="120"/>
      </w:pPr>
      <w:r>
        <w:t xml:space="preserve">☐ CPF employer registration</w:t>
      </w:r>
    </w:p>
    <w:p>
      <w:pPr>
        <w:pStyle w:val="Heading3"/>
      </w:pPr>
      <w:r>
        <w:t xml:space="preserve">Indonesia</w:t>
      </w:r>
    </w:p>
    <w:p>
      <w:pPr>
        <w:spacing w:after="120"/>
      </w:pPr>
      <w:r>
        <w:t xml:space="preserve">☐ Local data center operational (IDCloudHost)</w:t>
      </w:r>
    </w:p>
    <w:p>
      <w:pPr>
        <w:spacing w:after="120"/>
      </w:pPr>
      <w:r>
        <w:t xml:space="preserve">☐ Kominfo notification submitted</w:t>
      </w:r>
    </w:p>
    <w:p>
      <w:pPr>
        <w:spacing w:after="120"/>
      </w:pPr>
      <w:r>
        <w:t xml:space="preserve">☐ Indonesian language privacy policy</w:t>
      </w:r>
    </w:p>
    <w:p>
      <w:pPr>
        <w:spacing w:after="120"/>
      </w:pPr>
      <w:r>
        <w:t xml:space="preserve">☐ BPJS employer registration</w:t>
      </w:r>
    </w:p>
    <w:p>
      <w:pPr>
        <w:pStyle w:val="Heading3"/>
      </w:pPr>
      <w:r>
        <w:t xml:space="preserve">Thailand</w:t>
      </w:r>
    </w:p>
    <w:p>
      <w:pPr>
        <w:spacing w:after="120"/>
      </w:pPr>
      <w:r>
        <w:t xml:space="preserve">☐ PDPC notification (if large-scale processing)</w:t>
      </w:r>
    </w:p>
    <w:p>
      <w:pPr>
        <w:spacing w:after="120"/>
      </w:pPr>
      <w:r>
        <w:t xml:space="preserve">☐ Thai language consent forms</w:t>
      </w:r>
    </w:p>
    <w:p>
      <w:pPr>
        <w:spacing w:after="120"/>
      </w:pPr>
      <w:r>
        <w:t xml:space="preserve">☐ SSF employer registration</w:t>
      </w:r>
    </w:p>
    <w:p>
      <w:pPr>
        <w:pStyle w:val="Heading3"/>
      </w:pPr>
      <w:r>
        <w:t xml:space="preserve">Vietnam</w:t>
      </w:r>
    </w:p>
    <w:p>
      <w:pPr>
        <w:spacing w:after="120"/>
      </w:pPr>
      <w:r>
        <w:t xml:space="preserve">☐ Local data center operational (VNETWORK)</w:t>
      </w:r>
    </w:p>
    <w:p>
      <w:pPr>
        <w:spacing w:after="120"/>
      </w:pPr>
      <w:r>
        <w:t xml:space="preserve">☐ Data Impact Assessment File prepared</w:t>
      </w:r>
    </w:p>
    <w:p>
      <w:pPr>
        <w:spacing w:after="120"/>
      </w:pPr>
      <w:r>
        <w:t xml:space="preserve">☐ MPS notification completed</w:t>
      </w:r>
    </w:p>
    <w:p>
      <w:pPr>
        <w:spacing w:after="120"/>
      </w:pPr>
      <w:r>
        <w:t xml:space="preserve">☐ SI/HI/UI employer registration</w:t>
      </w:r>
    </w:p>
    <w:p>
      <w:pPr>
        <w:pStyle w:val="Heading3"/>
      </w:pPr>
      <w:r>
        <w:t xml:space="preserve">Philippines</w:t>
      </w:r>
    </w:p>
    <w:p>
      <w:pPr>
        <w:spacing w:after="120"/>
      </w:pPr>
      <w:r>
        <w:t xml:space="preserve">☐ NPC registration</w:t>
      </w:r>
    </w:p>
    <w:p>
      <w:pPr>
        <w:spacing w:after="120"/>
      </w:pPr>
      <w:r>
        <w:t xml:space="preserve">☐ DPO registered with NPC</w:t>
      </w:r>
    </w:p>
    <w:p>
      <w:pPr>
        <w:spacing w:after="120"/>
      </w:pPr>
      <w:r>
        <w:t xml:space="preserve">☐ SSS, PhilHealth, HDMF employer registration</w:t>
      </w:r>
    </w:p>
    <w:p>
      <w:pPr>
        <w:pStyle w:val="Heading3"/>
      </w:pPr>
      <w:r>
        <w:t xml:space="preserve">Laos (NEW)</w:t>
      </w:r>
    </w:p>
    <w:p>
      <w:pPr>
        <w:spacing w:after="120"/>
      </w:pPr>
      <w:r>
        <w:t xml:space="preserve">☐ Cross-border consent mechanism implemented</w:t>
      </w:r>
    </w:p>
    <w:p>
      <w:pPr>
        <w:spacing w:after="120"/>
      </w:pPr>
      <w:r>
        <w:t xml:space="preserve">☐ Employee data handling authorization documented</w:t>
      </w:r>
    </w:p>
    <w:p>
      <w:pPr>
        <w:spacing w:after="120"/>
      </w:pPr>
      <w:r>
        <w:t xml:space="preserve">☐ LSSO employer registration</w:t>
      </w:r>
    </w:p>
    <w:p>
      <w:pPr>
        <w:spacing w:after="120"/>
      </w:pPr>
      <w:r>
        <w:t xml:space="preserve">☐ Lao language support enabled (lo_LA)</w:t>
      </w:r>
    </w:p>
    <w:p>
      <w:pPr>
        <w:pStyle w:val="Heading3"/>
      </w:pPr>
      <w:r>
        <w:t xml:space="preserve">Cambodia (NEW)</w:t>
      </w:r>
    </w:p>
    <w:p>
      <w:pPr>
        <w:spacing w:after="120"/>
      </w:pPr>
      <w:r>
        <w:t xml:space="preserve">☐ NSSF employer registration (if 8+ employees)</w:t>
      </w:r>
    </w:p>
    <w:p>
      <w:pPr>
        <w:spacing w:after="120"/>
      </w:pPr>
      <w:r>
        <w:t xml:space="preserve">☐ Khmer language support enabled (km_KH)</w:t>
      </w:r>
    </w:p>
    <w:p>
      <w:pPr>
        <w:spacing w:after="120"/>
      </w:pPr>
      <w:r>
        <w:t xml:space="preserve">☐ Monitor draft LPDP for future requirements</w:t>
      </w:r>
    </w:p>
    <w:p>
      <w:pPr>
        <w:spacing w:after="120"/>
      </w:pPr>
      <w:r>
        <w:t xml:space="preserve">☐ Annual Prakas holiday calendar integration</w:t>
      </w:r>
    </w:p>
    <w:p>
      <w:pPr>
        <w:pStyle w:val="Heading3"/>
      </w:pPr>
      <w:r>
        <w:t xml:space="preserve">Brunei (NEW)</w:t>
      </w:r>
    </w:p>
    <w:p>
      <w:pPr>
        <w:spacing w:after="120"/>
      </w:pPr>
      <w:r>
        <w:t xml:space="preserve">☐ AITI PDPO notification completed</w:t>
      </w:r>
    </w:p>
    <w:p>
      <w:pPr>
        <w:spacing w:after="120"/>
      </w:pPr>
      <w:r>
        <w:t xml:space="preserve">☐ DPO appointed (MANDATORY for all controllers)</w:t>
      </w:r>
    </w:p>
    <w:p>
      <w:pPr>
        <w:spacing w:after="120"/>
      </w:pPr>
      <w:r>
        <w:t xml:space="preserve">☐ DPO CIPM certification verified</w:t>
      </w:r>
    </w:p>
    <w:p>
      <w:pPr>
        <w:spacing w:after="120"/>
      </w:pPr>
      <w:r>
        <w:t xml:space="preserve">☐ Local representative designated</w:t>
      </w:r>
    </w:p>
    <w:p>
      <w:pPr>
        <w:spacing w:after="120"/>
      </w:pPr>
      <w:r>
        <w:t xml:space="preserve">☐ TAP/SCP or SPK employer registration</w:t>
      </w:r>
    </w:p>
    <w:p>
      <w:pPr>
        <w:pStyle w:val="Heading2"/>
      </w:pPr>
      <w:r>
        <w:t xml:space="preserve">8.2 Critical Monitoring Items</w:t>
      </w:r>
    </w:p>
    <w:p>
      <w:pPr>
        <w:spacing w:after="120"/>
      </w:pPr>
      <w:r>
        <w:t xml:space="preserve">⚠️ Cambodia LPDP: Monitor for law enactment and data residency requirements</w:t>
      </w:r>
    </w:p>
    <w:p>
      <w:pPr>
        <w:spacing w:after="120"/>
      </w:pPr>
      <w:r>
        <w:t xml:space="preserve">⚠️ Brunei PDPO: 1-year grace period - ensure full compliance by January 2026</w:t>
      </w:r>
    </w:p>
    <w:p>
      <w:pPr>
        <w:spacing w:after="120"/>
      </w:pPr>
      <w:r>
        <w:t xml:space="preserve">⚠️ Cambodia NSSF Pension: Rate increases to 4% each after 5 years (Oct 2027)</w:t>
      </w:r>
    </w:p>
    <w:p>
      <w:r>
        <w:br w:type="page"/>
      </w:r>
    </w:p>
    <w:p>
      <w:pPr>
        <w:pStyle w:val="Heading1"/>
      </w:pPr>
      <w:r>
        <w:t xml:space="preserve">9. Implementation Guide</w:t>
      </w:r>
    </w:p>
    <w:p>
      <w:pPr>
        <w:pStyle w:val="Heading2"/>
      </w:pPr>
      <w:r>
        <w:t xml:space="preserve">9.1 Deployment Order</w:t>
      </w:r>
    </w:p>
    <w:p>
      <w:pPr>
        <w:spacing w:after="120"/>
      </w:pPr>
      <w:r>
        <w:t xml:space="preserve">1. Deploy Malaysia Hub (Shinjiru) - WireGuard server, Odoo, Redis, MinIO</w:t>
      </w:r>
    </w:p>
    <w:p>
      <w:pPr>
        <w:spacing w:after="120"/>
      </w:pPr>
      <w:r>
        <w:t xml:space="preserve">2. Deploy Singapore data plane (Contabo) - PostgreSQL, WireGuard peer</w:t>
      </w:r>
    </w:p>
    <w:p>
      <w:pPr>
        <w:spacing w:after="120"/>
      </w:pPr>
      <w:r>
        <w:t xml:space="preserve">3. Deploy Indonesia data plane (IDCloudHost) - PostgreSQL, WireGuard peer</w:t>
      </w:r>
    </w:p>
    <w:p>
      <w:pPr>
        <w:spacing w:after="120"/>
      </w:pPr>
      <w:r>
        <w:t xml:space="preserve">4. Deploy Thailand data plane (Linode) - PostgreSQL for TH + LA, WireGuard peer</w:t>
      </w:r>
    </w:p>
    <w:p>
      <w:pPr>
        <w:spacing w:after="120"/>
      </w:pPr>
      <w:r>
        <w:t xml:space="preserve">5. Deploy Vietnam data plane (VNETWORK) - PostgreSQL for VN + KH, WireGuard peer</w:t>
      </w:r>
    </w:p>
    <w:p>
      <w:pPr>
        <w:spacing w:after="120"/>
      </w:pPr>
      <w:r>
        <w:t xml:space="preserve">6. Configure database router for 9-country routing</w:t>
      </w:r>
    </w:p>
    <w:p>
      <w:pPr>
        <w:spacing w:after="120"/>
      </w:pPr>
      <w:r>
        <w:t xml:space="preserve">7. Deploy mobile app with 11-language support</w:t>
      </w:r>
    </w:p>
    <w:p>
      <w:pPr>
        <w:pStyle w:val="Heading2"/>
      </w:pPr>
      <w:r>
        <w:t xml:space="preserve">9.2 Database Router Configuration</w:t>
      </w:r>
    </w:p>
    <w:p>
      <w:pPr>
        <w:spacing w:after="120"/>
      </w:pPr>
      <w:r>
        <w:t xml:space="preserve">The database router determines which data plane handles each request based on company country code.</w:t>
      </w:r>
    </w:p>
    <w:p>
      <w:pPr>
        <w:pStyle w:val="Heading3"/>
      </w:pPr>
      <w:r>
        <w:t xml:space="preserve">Routing Logic</w:t>
      </w:r>
    </w:p>
    <w:p>
      <w:pPr>
        <w:spacing w:after="120"/>
      </w:pPr>
      <w:r>
        <w:t xml:space="preserve">MY → Malaysia Hub (10.10.0.1)</w:t>
      </w:r>
    </w:p>
    <w:p>
      <w:pPr>
        <w:spacing w:after="120"/>
      </w:pPr>
      <w:r>
        <w:t xml:space="preserve">SG → Singapore (10.10.1.1)</w:t>
      </w:r>
    </w:p>
    <w:p>
      <w:pPr>
        <w:spacing w:after="120"/>
      </w:pPr>
      <w:r>
        <w:t xml:space="preserve">ID → Indonesia (10.10.2.1)</w:t>
      </w:r>
    </w:p>
    <w:p>
      <w:pPr>
        <w:spacing w:after="120"/>
      </w:pPr>
      <w:r>
        <w:t xml:space="preserve">TH → Thailand (10.10.3.1)</w:t>
      </w:r>
    </w:p>
    <w:p>
      <w:pPr>
        <w:spacing w:after="120"/>
      </w:pPr>
      <w:r>
        <w:t xml:space="preserve">LA → Thailand (10.10.3.1) [shared]</w:t>
      </w:r>
    </w:p>
    <w:p>
      <w:pPr>
        <w:spacing w:after="120"/>
      </w:pPr>
      <w:r>
        <w:t xml:space="preserve">VN → Vietnam (10.10.4.1)</w:t>
      </w:r>
    </w:p>
    <w:p>
      <w:pPr>
        <w:spacing w:after="120"/>
      </w:pPr>
      <w:r>
        <w:t xml:space="preserve">KH → Vietnam (10.10.4.1) [shared]</w:t>
      </w:r>
    </w:p>
    <w:p>
      <w:pPr>
        <w:spacing w:after="120"/>
      </w:pPr>
      <w:r>
        <w:t xml:space="preserve">PH → Malaysia Hub (10.10.0.1) [no local req]</w:t>
      </w:r>
    </w:p>
    <w:p>
      <w:pPr>
        <w:spacing w:after="120"/>
      </w:pPr>
      <w:r>
        <w:t xml:space="preserve">BN → Malaysia Hub (10.10.0.1) [no local req]</w:t>
      </w:r>
    </w:p>
    <w:p>
      <w:pPr>
        <w:pStyle w:val="Heading2"/>
      </w:pPr>
      <w:r>
        <w:t xml:space="preserve">9.3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8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Provider</w:t>
            </w:r>
          </w:p>
        </w:tc>
        <w:tc>
          <w:tcPr>
            <w:tcW w:type="dxa" w:w="2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Monthly Cost</w:t>
            </w:r>
          </w:p>
        </w:tc>
      </w:tr>
      <w:tr>
        <w:tc>
          <w:tcPr>
            <w:tcW w:type="dxa" w:w="3000"/>
            <w:tcBorders>
              <w:top w:val="single" w:color="CCCCCC" w:sz="1"/>
              <w:left w:val="single" w:color="CCCCCC" w:sz="1"/>
              <w:bottom w:val="single" w:color="CCCCCC" w:sz="1"/>
              <w:right w:val="single" w:color="CCCCCC" w:sz="1"/>
            </w:tcBorders>
          </w:tcPr>
          <w:p>
            <w:pPr>
              <w:spacing w:before="40" w:after="40"/>
            </w:pPr>
            <w:r>
              <w:rPr>
                <w:sz w:val="20"/>
                <w:szCs w:val="20"/>
              </w:rPr>
              <w:t xml:space="preserve">Malaysia Hub (MY, PH, BN)</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Shinjiru</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$59</w:t>
            </w:r>
          </w:p>
        </w:tc>
      </w:tr>
      <w:tr>
        <w:tc>
          <w:tcPr>
            <w:tcW w:type="dxa" w:w="3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Singapore Data Plane</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Contabo</w:t>
            </w:r>
          </w:p>
        </w:tc>
        <w:tc>
          <w:tcPr>
            <w:tcW w:type="dxa" w:w="2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$8</w:t>
            </w:r>
          </w:p>
        </w:tc>
      </w:tr>
      <w:tr>
        <w:tc>
          <w:tcPr>
            <w:tcW w:type="dxa" w:w="3000"/>
            <w:tcBorders>
              <w:top w:val="single" w:color="CCCCCC" w:sz="1"/>
              <w:left w:val="single" w:color="CCCCCC" w:sz="1"/>
              <w:bottom w:val="single" w:color="CCCCCC" w:sz="1"/>
              <w:right w:val="single" w:color="CCCCCC" w:sz="1"/>
            </w:tcBorders>
          </w:tcPr>
          <w:p>
            <w:pPr>
              <w:spacing w:before="40" w:after="40"/>
            </w:pPr>
            <w:r>
              <w:rPr>
                <w:sz w:val="20"/>
                <w:szCs w:val="20"/>
              </w:rPr>
              <w:t xml:space="preserve">Indonesia Data Plane</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IDCloudHost</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$15</w:t>
            </w:r>
          </w:p>
        </w:tc>
      </w:tr>
      <w:tr>
        <w:tc>
          <w:tcPr>
            <w:tcW w:type="dxa" w:w="30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Thailand Data Plane (TH, LA)</w:t>
            </w:r>
          </w:p>
        </w:tc>
        <w:tc>
          <w:tcPr>
            <w:tcW w:type="dxa" w:w="2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Linode</w:t>
            </w:r>
          </w:p>
        </w:tc>
        <w:tc>
          <w:tcPr>
            <w:tcW w:type="dxa" w:w="28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$12</w:t>
            </w:r>
          </w:p>
        </w:tc>
      </w:tr>
      <w:tr>
        <w:tc>
          <w:tcPr>
            <w:tcW w:type="dxa" w:w="3000"/>
            <w:tcBorders>
              <w:top w:val="single" w:color="CCCCCC" w:sz="1"/>
              <w:left w:val="single" w:color="CCCCCC" w:sz="1"/>
              <w:bottom w:val="single" w:color="CCCCCC" w:sz="1"/>
              <w:right w:val="single" w:color="CCCCCC" w:sz="1"/>
            </w:tcBorders>
          </w:tcPr>
          <w:p>
            <w:pPr>
              <w:spacing w:before="40" w:after="40"/>
            </w:pPr>
            <w:r>
              <w:rPr>
                <w:sz w:val="20"/>
                <w:szCs w:val="20"/>
              </w:rPr>
              <w:t xml:space="preserve">Vietnam Data Plane (VN, KH)</w:t>
            </w:r>
          </w:p>
        </w:tc>
        <w:tc>
          <w:tcPr>
            <w:tcW w:type="dxa" w:w="2500"/>
            <w:tcBorders>
              <w:top w:val="single" w:color="CCCCCC" w:sz="1"/>
              <w:left w:val="single" w:color="CCCCCC" w:sz="1"/>
              <w:bottom w:val="single" w:color="CCCCCC" w:sz="1"/>
              <w:right w:val="single" w:color="CCCCCC" w:sz="1"/>
            </w:tcBorders>
          </w:tcPr>
          <w:p>
            <w:pPr>
              <w:spacing w:before="40" w:after="40"/>
            </w:pPr>
            <w:r>
              <w:rPr>
                <w:sz w:val="20"/>
                <w:szCs w:val="20"/>
              </w:rPr>
              <w:t xml:space="preserve">VNETWORK</w:t>
            </w:r>
          </w:p>
        </w:tc>
        <w:tc>
          <w:tcPr>
            <w:tcW w:type="dxa" w:w="2860"/>
            <w:tcBorders>
              <w:top w:val="single" w:color="CCCCCC" w:sz="1"/>
              <w:left w:val="single" w:color="CCCCCC" w:sz="1"/>
              <w:bottom w:val="single" w:color="CCCCCC" w:sz="1"/>
              <w:right w:val="single" w:color="CCCCCC" w:sz="1"/>
            </w:tcBorders>
          </w:tcPr>
          <w:p>
            <w:pPr>
              <w:spacing w:before="40" w:after="40"/>
            </w:pPr>
            <w:r>
              <w:rPr>
                <w:sz w:val="20"/>
                <w:szCs w:val="20"/>
              </w:rPr>
              <w:t xml:space="preserve">$15</w:t>
            </w:r>
          </w:p>
        </w:tc>
      </w:tr>
      <w:tr>
        <w:tc>
          <w:tcPr>
            <w:tcW w:type="dxa" w:w="3000"/>
            <w:tcBorders>
              <w:top w:val="single" w:color="CCCCCC" w:sz="1"/>
              <w:left w:val="single" w:color="CCCCCC" w:sz="1"/>
              <w:bottom w:val="single" w:color="CCCCCC" w:sz="1"/>
              <w:right w:val="single" w:color="CCCCCC" w:sz="1"/>
            </w:tcBorders>
            <w:shd w:fill="D5F5E3" w:val="clear"/>
          </w:tcPr>
          <w:p>
            <w:r>
              <w:rPr>
                <w:b/>
                <w:bCs/>
                <w:sz w:val="20"/>
                <w:szCs w:val="20"/>
              </w:rPr>
              <w:t xml:space="preserve">TOTAL MONTHLY</w:t>
            </w:r>
          </w:p>
        </w:tc>
        <w:tc>
          <w:tcPr>
            <w:tcW w:type="dxa" w:w="2500"/>
            <w:tcBorders>
              <w:top w:val="single" w:color="CCCCCC" w:sz="1"/>
              <w:left w:val="single" w:color="CCCCCC" w:sz="1"/>
              <w:bottom w:val="single" w:color="CCCCCC" w:sz="1"/>
              <w:right w:val="single" w:color="CCCCCC" w:sz="1"/>
            </w:tcBorders>
            <w:shd w:fill="D5F5E3" w:val="clear"/>
          </w:tcPr>
          <w:p>
            <w:pPr>
              <w:spacing w:before="40" w:after="40"/>
            </w:pPr>
            <w:r>
              <w:rPr>
                <w:sz w:val="20"/>
                <w:szCs w:val="20"/>
              </w:rPr>
              <w:t xml:space="preserve"/>
            </w:r>
          </w:p>
        </w:tc>
        <w:tc>
          <w:tcPr>
            <w:tcW w:type="dxa" w:w="2860"/>
            <w:tcBorders>
              <w:top w:val="single" w:color="CCCCCC" w:sz="1"/>
              <w:left w:val="single" w:color="CCCCCC" w:sz="1"/>
              <w:bottom w:val="single" w:color="CCCCCC" w:sz="1"/>
              <w:right w:val="single" w:color="CCCCCC" w:sz="1"/>
            </w:tcBorders>
            <w:shd w:fill="D5F5E3" w:val="clear"/>
          </w:tcPr>
          <w:p>
            <w:r>
              <w:rPr>
                <w:b/>
                <w:bCs/>
                <w:sz w:val="20"/>
                <w:szCs w:val="20"/>
              </w:rPr>
              <w:t xml:space="preserve">$109-114</w:t>
            </w:r>
          </w:p>
        </w:tc>
      </w:tr>
      <w:tr>
        <w:tc>
          <w:tcPr>
            <w:tcW w:type="dxa" w:w="3000"/>
            <w:tcBorders>
              <w:top w:val="single" w:color="CCCCCC" w:sz="1"/>
              <w:left w:val="single" w:color="CCCCCC" w:sz="1"/>
              <w:bottom w:val="single" w:color="CCCCCC" w:sz="1"/>
              <w:right w:val="single" w:color="CCCCCC" w:sz="1"/>
            </w:tcBorders>
            <w:shd w:fill="D5F5E3" w:val="clear"/>
          </w:tcPr>
          <w:p>
            <w:r>
              <w:rPr>
                <w:b/>
                <w:bCs/>
                <w:sz w:val="20"/>
                <w:szCs w:val="20"/>
              </w:rPr>
              <w:t xml:space="preserve">ANNUAL ESTIMATE</w:t>
            </w:r>
          </w:p>
        </w:tc>
        <w:tc>
          <w:tcPr>
            <w:tcW w:type="dxa" w:w="2500"/>
            <w:tcBorders>
              <w:top w:val="single" w:color="CCCCCC" w:sz="1"/>
              <w:left w:val="single" w:color="CCCCCC" w:sz="1"/>
              <w:bottom w:val="single" w:color="CCCCCC" w:sz="1"/>
              <w:right w:val="single" w:color="CCCCCC" w:sz="1"/>
            </w:tcBorders>
            <w:shd w:fill="D5F5E3" w:val="clear"/>
          </w:tcPr>
          <w:p>
            <w:pPr>
              <w:spacing w:before="40" w:after="40"/>
            </w:pPr>
            <w:r>
              <w:rPr>
                <w:sz w:val="20"/>
                <w:szCs w:val="20"/>
              </w:rPr>
              <w:t xml:space="preserve"/>
            </w:r>
          </w:p>
        </w:tc>
        <w:tc>
          <w:tcPr>
            <w:tcW w:type="dxa" w:w="2860"/>
            <w:tcBorders>
              <w:top w:val="single" w:color="CCCCCC" w:sz="1"/>
              <w:left w:val="single" w:color="CCCCCC" w:sz="1"/>
              <w:bottom w:val="single" w:color="CCCCCC" w:sz="1"/>
              <w:right w:val="single" w:color="CCCCCC" w:sz="1"/>
            </w:tcBorders>
            <w:shd w:fill="D5F5E3" w:val="clear"/>
          </w:tcPr>
          <w:p>
            <w:r>
              <w:rPr>
                <w:b/>
                <w:bCs/>
                <w:sz w:val="20"/>
                <w:szCs w:val="20"/>
              </w:rPr>
              <w:t xml:space="preserve">$1,308-1,368</w:t>
            </w:r>
          </w:p>
        </w:tc>
      </w:tr>
    </w:tbl>
    <w:p>
      <w:pPr>
        <w:spacing w:after="120"/>
      </w:pPr>
      <w:r>
        <w:t xml:space="preserve"/>
      </w:r>
    </w:p>
    <w:p>
      <w:pPr>
        <w:spacing w:after="80"/>
      </w:pPr>
      <w:r>
        <w:rPr>
          <w:b/>
          <w:bCs/>
        </w:rPr>
        <w:t xml:space="preserve">v2.0 to v3.0 Cost Delta: </w:t>
      </w:r>
      <w:r>
        <w:t xml:space="preserve">$0 additional monthly cost</w:t>
      </w:r>
    </w:p>
    <w:p>
      <w:pPr>
        <w:spacing w:after="80"/>
      </w:pPr>
      <w:r>
        <w:rPr>
          <w:b/>
          <w:bCs/>
        </w:rPr>
        <w:t xml:space="preserve">Countries Added: </w:t>
      </w:r>
      <w:r>
        <w:t xml:space="preserve">3 (Laos, Cambodia, Brunei)</w:t>
      </w:r>
    </w:p>
    <w:p>
      <w:pPr>
        <w:spacing w:after="80"/>
      </w:pPr>
      <w:r>
        <w:rPr>
          <w:b/>
          <w:bCs/>
        </w:rPr>
        <w:t xml:space="preserve">Method: </w:t>
      </w:r>
      <w:r>
        <w:t xml:space="preserve">Shared infrastructure where data residency allows</w:t>
      </w:r>
    </w:p>
    <w:p>
      <w:r>
        <w:br w:type="page"/>
      </w:r>
    </w:p>
    <w:p>
      <w:pPr>
        <w:pStyle w:val="Heading1"/>
      </w:pPr>
      <w:r>
        <w:t xml:space="preserve">10. Appendices</w:t>
      </w:r>
    </w:p>
    <w:p>
      <w:pPr>
        <w:pStyle w:val="Heading2"/>
      </w:pPr>
      <w:r>
        <w:t xml:space="preserve">Appendix A: VPS Provider Research</w:t>
      </w:r>
    </w:p>
    <w:p>
      <w:pPr>
        <w:pStyle w:val="Heading3"/>
      </w:pPr>
      <w:r>
        <w:t xml:space="preserve">Cambodia VPS Options (Reference Only)</w:t>
      </w:r>
    </w:p>
    <w:p>
      <w:pPr>
        <w:spacing w:after="120"/>
      </w:pPr>
      <w:r>
        <w:t xml:space="preserve">Local providers found: Daun Penh Data Center (DPDC), LightNode, Global Digital Management Solutions (GDMS), VinaHost Cambodia</w:t>
      </w:r>
    </w:p>
    <w:p>
      <w:pPr>
        <w:spacing w:after="120"/>
      </w:pPr>
      <w:r>
        <w:t xml:space="preserve">Recommendation: Use Vietnam VPS (VNETWORK) - better reliability, no local storage requirement</w:t>
      </w:r>
    </w:p>
    <w:p>
      <w:pPr>
        <w:pStyle w:val="Heading3"/>
      </w:pPr>
      <w:r>
        <w:t xml:space="preserve">Laos VPS Options (Reference Only)</w:t>
      </w:r>
    </w:p>
    <w:p>
      <w:pPr>
        <w:spacing w:after="120"/>
      </w:pPr>
      <w:r>
        <w:t xml:space="preserve">Local providers found: VinaHost Laos, GDMS Laos, Lao Data Center (laodc.com)</w:t>
      </w:r>
    </w:p>
    <w:p>
      <w:pPr>
        <w:spacing w:after="120"/>
      </w:pPr>
      <w:r>
        <w:t xml:space="preserve">Recommendation: Use Thailand VPS (Linode) - better SLA, lower latency, no local storage requirement</w:t>
      </w:r>
    </w:p>
    <w:p>
      <w:pPr>
        <w:pStyle w:val="Heading3"/>
      </w:pPr>
      <w:r>
        <w:t xml:space="preserve">Brunei VPS Options (Reference Only)</w:t>
      </w:r>
    </w:p>
    <w:p>
      <w:pPr>
        <w:spacing w:after="120"/>
      </w:pPr>
      <w:r>
        <w:t xml:space="preserve">Local providers: Very limited (UNN government-linked only)</w:t>
      </w:r>
    </w:p>
    <w:p>
      <w:pPr>
        <w:spacing w:after="120"/>
      </w:pPr>
      <w:r>
        <w:t xml:space="preserve">Recommendation: Use Malaysia Hub - same language, no local storage requirement, excellent connectivity</w:t>
      </w:r>
    </w:p>
    <w:p>
      <w:pPr>
        <w:pStyle w:val="Heading2"/>
      </w:pPr>
      <w:r>
        <w:t xml:space="preserve">Appendix B: Document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360"/>
      </w:tblGrid>
      <w:tr>
        <w:trPr>
          <w:tblHeader/>
        </w:trPr>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Date</w:t>
            </w:r>
          </w:p>
        </w:tc>
        <w:tc>
          <w:tcPr>
            <w:tcW w:type="dxa" w:w="53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1.0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Nov 2025</w:t>
            </w:r>
          </w:p>
        </w:tc>
        <w:tc>
          <w:tcPr>
            <w:tcW w:type="dxa" w:w="5360"/>
            <w:tcBorders>
              <w:top w:val="single" w:color="CCCCCC" w:sz="1"/>
              <w:left w:val="single" w:color="CCCCCC" w:sz="1"/>
              <w:bottom w:val="single" w:color="CCCCCC" w:sz="1"/>
              <w:right w:val="single" w:color="CCCCCC" w:sz="1"/>
            </w:tcBorders>
          </w:tcPr>
          <w:p>
            <w:pPr>
              <w:spacing w:before="40" w:after="40"/>
            </w:pPr>
            <w:r>
              <w:rPr>
                <w:sz w:val="20"/>
                <w:szCs w:val="20"/>
              </w:rPr>
              <w:t xml:space="preserve">Initial 6-country architecture</w:t>
            </w:r>
          </w:p>
        </w:tc>
      </w:tr>
      <w:tr>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2.0</w:t>
            </w:r>
          </w:p>
        </w:tc>
        <w:tc>
          <w:tcPr>
            <w:tcW w:type="dxa" w:w="150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Dec 2025</w:t>
            </w:r>
          </w:p>
        </w:tc>
        <w:tc>
          <w:tcPr>
            <w:tcW w:type="dxa" w:w="5360"/>
            <w:tcBorders>
              <w:top w:val="single" w:color="CCCCCC" w:sz="1"/>
              <w:left w:val="single" w:color="CCCCCC" w:sz="1"/>
              <w:bottom w:val="single" w:color="CCCCCC" w:sz="1"/>
              <w:right w:val="single" w:color="CCCCCC" w:sz="1"/>
            </w:tcBorders>
            <w:shd w:fill="F8F9FA" w:val="clear"/>
          </w:tcPr>
          <w:p>
            <w:pPr>
              <w:spacing w:before="40" w:after="40"/>
            </w:pPr>
            <w:r>
              <w:rPr>
                <w:sz w:val="20"/>
                <w:szCs w:val="20"/>
              </w:rPr>
              <w:t xml:space="preserve">Zero-cost audit, budget VPS optimization</w:t>
            </w:r>
          </w:p>
        </w:tc>
      </w:tr>
      <w:tr>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3.0</w:t>
            </w:r>
          </w:p>
        </w:tc>
        <w:tc>
          <w:tcPr>
            <w:tcW w:type="dxa" w:w="1500"/>
            <w:tcBorders>
              <w:top w:val="single" w:color="CCCCCC" w:sz="1"/>
              <w:left w:val="single" w:color="CCCCCC" w:sz="1"/>
              <w:bottom w:val="single" w:color="CCCCCC" w:sz="1"/>
              <w:right w:val="single" w:color="CCCCCC" w:sz="1"/>
            </w:tcBorders>
          </w:tcPr>
          <w:p>
            <w:pPr>
              <w:spacing w:before="40" w:after="40"/>
            </w:pPr>
            <w:r>
              <w:rPr>
                <w:sz w:val="20"/>
                <w:szCs w:val="20"/>
              </w:rPr>
              <w:t xml:space="preserve">Dec 2025</w:t>
            </w:r>
          </w:p>
        </w:tc>
        <w:tc>
          <w:tcPr>
            <w:tcW w:type="dxa" w:w="5360"/>
            <w:tcBorders>
              <w:top w:val="single" w:color="CCCCCC" w:sz="1"/>
              <w:left w:val="single" w:color="CCCCCC" w:sz="1"/>
              <w:bottom w:val="single" w:color="CCCCCC" w:sz="1"/>
              <w:right w:val="single" w:color="CCCCCC" w:sz="1"/>
            </w:tcBorders>
          </w:tcPr>
          <w:p>
            <w:pPr>
              <w:spacing w:before="40" w:after="40"/>
            </w:pPr>
            <w:r>
              <w:rPr>
                <w:sz w:val="20"/>
                <w:szCs w:val="20"/>
              </w:rPr>
              <w:t xml:space="preserve">Added Laos, Cambodia, Brunei (9 countries total)</w:t>
            </w:r>
          </w:p>
        </w:tc>
      </w:tr>
    </w:tbl>
    <w:p>
      <w:pPr>
        <w:pStyle w:val="Heading2"/>
      </w:pPr>
      <w:r>
        <w:t xml:space="preserve">Appendix C: Key Contacts and Resources</w:t>
      </w:r>
    </w:p>
    <w:p>
      <w:pPr>
        <w:pStyle w:val="Heading3"/>
      </w:pPr>
      <w:r>
        <w:t xml:space="preserve">Regulatory Authorities</w:t>
      </w:r>
    </w:p>
    <w:p>
      <w:pPr>
        <w:spacing w:after="120"/>
      </w:pPr>
      <w:r>
        <w:t xml:space="preserve">• 🇲🇾 JPDP: www.pdp.gov.my</w:t>
      </w:r>
    </w:p>
    <w:p>
      <w:pPr>
        <w:spacing w:after="120"/>
      </w:pPr>
      <w:r>
        <w:t xml:space="preserve">• 🇸🇬 PDPC: www.pdpc.gov.sg</w:t>
      </w:r>
    </w:p>
    <w:p>
      <w:pPr>
        <w:spacing w:after="120"/>
      </w:pPr>
      <w:r>
        <w:t xml:space="preserve">• 🇮🇩 Kominfo: www.kominfo.go.id</w:t>
      </w:r>
    </w:p>
    <w:p>
      <w:pPr>
        <w:spacing w:after="120"/>
      </w:pPr>
      <w:r>
        <w:t xml:space="preserve">• 🇹🇭 PDPC Thailand: www.pdpc.or.th</w:t>
      </w:r>
    </w:p>
    <w:p>
      <w:pPr>
        <w:spacing w:after="120"/>
      </w:pPr>
      <w:r>
        <w:t xml:space="preserve">• 🇻🇳 MPS: bocongan.gov.vn</w:t>
      </w:r>
    </w:p>
    <w:p>
      <w:pPr>
        <w:spacing w:after="120"/>
      </w:pPr>
      <w:r>
        <w:t xml:space="preserve">• 🇵🇭 NPC: www.privacy.gov.ph</w:t>
      </w:r>
    </w:p>
    <w:p>
      <w:pPr>
        <w:spacing w:after="120"/>
      </w:pPr>
      <w:r>
        <w:t xml:space="preserve">• 🇱🇦 MTC: www.mtc.gov.la</w:t>
      </w:r>
    </w:p>
    <w:p>
      <w:pPr>
        <w:spacing w:after="120"/>
      </w:pPr>
      <w:r>
        <w:t xml:space="preserve">• 🇰🇭 MLVT: www.mlvt.gov.kh</w:t>
      </w:r>
    </w:p>
    <w:p>
      <w:pPr>
        <w:spacing w:after="120"/>
      </w:pPr>
      <w:r>
        <w:t xml:space="preserve">• 🇧🇳 AITI: www.aiti.gov.bn</w:t>
      </w:r>
    </w:p>
    <w:p>
      <w:pPr>
        <w:pStyle w:val="Heading3"/>
      </w:pPr>
      <w:r>
        <w:t xml:space="preserve">Social Security Organizations</w:t>
      </w:r>
    </w:p>
    <w:p>
      <w:pPr>
        <w:spacing w:after="120"/>
      </w:pPr>
      <w:r>
        <w:t xml:space="preserve">• 🇲🇾 EPF: www.kwsp.gov.my | SOCSO: www.perkeso.gov.my</w:t>
      </w:r>
    </w:p>
    <w:p>
      <w:pPr>
        <w:spacing w:after="120"/>
      </w:pPr>
      <w:r>
        <w:t xml:space="preserve">• 🇸🇬 CPF: www.cpf.gov.sg</w:t>
      </w:r>
    </w:p>
    <w:p>
      <w:pPr>
        <w:spacing w:after="120"/>
      </w:pPr>
      <w:r>
        <w:t xml:space="preserve">• 🇮🇩 BPJS: www.bpjsketenagakerjaan.go.id</w:t>
      </w:r>
    </w:p>
    <w:p>
      <w:pPr>
        <w:spacing w:after="120"/>
      </w:pPr>
      <w:r>
        <w:t xml:space="preserve">• 🇹🇭 SSO: www.sso.go.th</w:t>
      </w:r>
    </w:p>
    <w:p>
      <w:pPr>
        <w:spacing w:after="120"/>
      </w:pPr>
      <w:r>
        <w:t xml:space="preserve">• 🇻🇳 VSS: www.baohiemxahoi.gov.vn</w:t>
      </w:r>
    </w:p>
    <w:p>
      <w:pPr>
        <w:spacing w:after="120"/>
      </w:pPr>
      <w:r>
        <w:t xml:space="preserve">• 🇵🇭 SSS: www.sss.gov.ph</w:t>
      </w:r>
    </w:p>
    <w:p>
      <w:pPr>
        <w:spacing w:after="120"/>
      </w:pPr>
      <w:r>
        <w:t xml:space="preserve">• 🇱🇦 LSSO: www.lsso.gov.la</w:t>
      </w:r>
    </w:p>
    <w:p>
      <w:pPr>
        <w:spacing w:after="120"/>
      </w:pPr>
      <w:r>
        <w:t xml:space="preserve">• 🇰🇭 NSSF: www.nssf.gov.kh</w:t>
      </w:r>
    </w:p>
    <w:p>
      <w:pPr>
        <w:spacing w:after="120"/>
      </w:pPr>
      <w:r>
        <w:t xml:space="preserve">• 🇧🇳 TAP: www.tap.com.bn</w:t>
      </w:r>
    </w:p>
    <w:p>
      <w:pPr>
        <w:spacing w:after="120"/>
      </w:pPr>
      <w:r>
        <w:t xml:space="preserve"/>
      </w:r>
    </w:p>
    <w:p>
      <w:pPr>
        <w:spacing w:after="120"/>
        <w:jc w:val="center"/>
      </w:pPr>
      <w:r>
        <w:t xml:space="preserve">--- END OF DOCUMENT ---</w:t>
      </w:r>
    </w:p>
    <w:p>
      <w:pPr>
        <w:spacing w:after="120"/>
        <w:jc w:val="center"/>
      </w:pPr>
      <w:r>
        <w:t xml:space="preserve">KerjaFlow Budget Enterprise Architecture v3.0</w:t>
      </w:r>
    </w:p>
    <w:p>
      <w:pPr>
        <w:spacing w:after="120"/>
        <w:jc w:val="center"/>
      </w:pPr>
      <w:r>
        <w:t xml:space="preserve">9-Country ASEAN Workforce Management Platform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KerjaFlow v3.0 | Budget Enterprise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2025-12-26T02:36:16.921Z</dcterms:created>
  <dcterms:modified xsi:type="dcterms:W3CDTF">2025-12-26T02:36:16.922Z</dcterms:modified>
</cp:coreProperties>
</file>

<file path=docProps/custom.xml><?xml version="1.0" encoding="utf-8"?>
<Properties xmlns="http://schemas.openxmlformats.org/officeDocument/2006/custom-properties" xmlns:vt="http://schemas.openxmlformats.org/officeDocument/2006/docPropsVTypes"/>
</file>