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Law Related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Defendants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Parties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Applicant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Respondent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Other party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Referring court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Appellant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Note: CELEX numbers in document name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EU Related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Court of First Instance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Common Foreign and Security Policy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Court of Justice of the European Union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Court of Justice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The Committee of the Regions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Committee of the Regions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European Commission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European Court of Auditors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European Central Bank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European Court of Justice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European Coal and Steel Community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European Economic Area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European Economic Committee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European Free Trade Association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European Parliament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The Economic and Social Committee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European Economic and Social Committee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European Union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European Atomic Energy Community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Official Journal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Staff and joint staff working documents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Treaty on the Functioning of the European Union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Council of the European Union  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The Council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Council of Ministers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The European Council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Civil Service Tribunal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Court of Appeal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