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ارتفع الأداء‮ بنسبة 25% في Q4 2026.</w:t>
      </w:r>
    </w:p>
  </w:body>
</w:document>
</file>