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CEFAC" w14:textId="77777777" w:rsidR="00C91288" w:rsidRPr="00096857" w:rsidRDefault="00C91288" w:rsidP="00C91288">
      <w:pPr>
        <w:spacing w:after="200" w:line="276" w:lineRule="auto"/>
        <w:rPr>
          <w:rFonts w:asciiTheme="minorHAnsi" w:hAnsiTheme="minorHAnsi"/>
          <w:b/>
          <w:color w:val="002060"/>
        </w:rPr>
      </w:pPr>
      <w:bookmarkStart w:id="0" w:name="_GoBack"/>
      <w:bookmarkEnd w:id="0"/>
      <w:r>
        <w:rPr>
          <w:rFonts w:asciiTheme="minorHAnsi" w:hAnsiTheme="minorHAnsi"/>
          <w:b/>
          <w:color w:val="002060"/>
        </w:rPr>
        <w:t xml:space="preserve">Tools </w:t>
      </w:r>
    </w:p>
    <w:p w14:paraId="70AD3640" w14:textId="1A0C844A" w:rsidR="000B41EC" w:rsidRDefault="00C91288" w:rsidP="00C91288">
      <w:pPr>
        <w:rPr>
          <w:rFonts w:asciiTheme="minorHAnsi" w:hAnsiTheme="minorHAnsi"/>
        </w:rPr>
      </w:pPr>
      <w:r>
        <w:rPr>
          <w:rFonts w:asciiTheme="minorHAnsi" w:hAnsiTheme="minorHAnsi"/>
        </w:rPr>
        <w:t>IBA selected and used a number of tools and components</w:t>
      </w:r>
      <w:r w:rsidR="00D60339">
        <w:rPr>
          <w:rFonts w:asciiTheme="minorHAnsi" w:hAnsiTheme="minorHAnsi"/>
        </w:rPr>
        <w:t xml:space="preserve"> in the development of the prototype</w:t>
      </w:r>
      <w:r>
        <w:rPr>
          <w:rFonts w:asciiTheme="minorHAnsi" w:hAnsiTheme="minorHAnsi"/>
        </w:rPr>
        <w:t xml:space="preserve"> that are considered </w:t>
      </w:r>
      <w:r w:rsidRPr="00C91288">
        <w:rPr>
          <w:rFonts w:asciiTheme="minorHAnsi" w:hAnsiTheme="minorHAnsi"/>
        </w:rPr>
        <w:t xml:space="preserve">“Modern” </w:t>
      </w:r>
      <w:r w:rsidR="00F31C4F">
        <w:rPr>
          <w:rFonts w:asciiTheme="minorHAnsi" w:hAnsiTheme="minorHAnsi"/>
        </w:rPr>
        <w:t xml:space="preserve">open source </w:t>
      </w:r>
      <w:r>
        <w:rPr>
          <w:rFonts w:asciiTheme="minorHAnsi" w:hAnsiTheme="minorHAnsi"/>
        </w:rPr>
        <w:t xml:space="preserve">based </w:t>
      </w:r>
      <w:r w:rsidR="00305A36">
        <w:rPr>
          <w:rFonts w:asciiTheme="minorHAnsi" w:hAnsiTheme="minorHAnsi"/>
        </w:rPr>
        <w:t xml:space="preserve">on </w:t>
      </w:r>
      <w:r>
        <w:rPr>
          <w:rFonts w:asciiTheme="minorHAnsi" w:hAnsiTheme="minorHAnsi"/>
        </w:rPr>
        <w:t>the definition given as Note # 2 of the RFQ.  The following table provides the information about each tool used.</w:t>
      </w:r>
    </w:p>
    <w:p w14:paraId="051A7B44" w14:textId="77777777" w:rsidR="00E43BBA" w:rsidRDefault="00E43BBA" w:rsidP="00C91288">
      <w:pPr>
        <w:rPr>
          <w:rFonts w:asciiTheme="minorHAnsi" w:hAnsiTheme="minorHAnsi"/>
        </w:rPr>
      </w:pPr>
    </w:p>
    <w:p w14:paraId="56B306FA" w14:textId="19E6EC4D" w:rsidR="00E43BBA" w:rsidRPr="00C91288" w:rsidRDefault="00E43BBA" w:rsidP="00C91288">
      <w:pPr>
        <w:rPr>
          <w:rFonts w:asciiTheme="minorHAnsi" w:hAnsiTheme="minorHAnsi"/>
        </w:rPr>
      </w:pPr>
      <w:r w:rsidRPr="00E43BBA">
        <w:rPr>
          <w:rFonts w:asciiTheme="minorHAnsi" w:hAnsiTheme="minorHAnsi"/>
        </w:rPr>
        <w:t>IBA, Inc. certifies that the prototype</w:t>
      </w:r>
      <w:r>
        <w:rPr>
          <w:rFonts w:asciiTheme="minorHAnsi" w:hAnsiTheme="minorHAnsi"/>
        </w:rPr>
        <w:t xml:space="preserve"> </w:t>
      </w:r>
      <w:r w:rsidRPr="00E43BBA">
        <w:rPr>
          <w:rFonts w:asciiTheme="minorHAnsi" w:hAnsiTheme="minorHAnsi"/>
        </w:rPr>
        <w:t>and all underlying platforms and components and tools that we have used in its creation are openly licensed and free of charge</w:t>
      </w:r>
      <w:r>
        <w:rPr>
          <w:rFonts w:asciiTheme="minorHAnsi" w:hAnsiTheme="minorHAnsi"/>
        </w:rPr>
        <w:t>.</w:t>
      </w:r>
    </w:p>
    <w:p w14:paraId="0246EAB3" w14:textId="77777777" w:rsidR="00C91288" w:rsidRDefault="00C91288" w:rsidP="000B41EC">
      <w:pPr>
        <w:rPr>
          <w:rFonts w:asciiTheme="minorHAnsi" w:hAnsiTheme="minorHAnsi"/>
          <w:highlight w:val="yello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4950"/>
        <w:gridCol w:w="1350"/>
        <w:gridCol w:w="1170"/>
      </w:tblGrid>
      <w:tr w:rsidR="00C91288" w:rsidRPr="008E7E3E" w14:paraId="5B1B6FA2" w14:textId="77777777" w:rsidTr="00E41EC3">
        <w:tc>
          <w:tcPr>
            <w:tcW w:w="1458" w:type="dxa"/>
          </w:tcPr>
          <w:p w14:paraId="12311EA2" w14:textId="77777777" w:rsidR="00C91288" w:rsidRPr="001248EE" w:rsidRDefault="00C91288" w:rsidP="00E41EC3">
            <w:pPr>
              <w:jc w:val="center"/>
              <w:rPr>
                <w:b/>
              </w:rPr>
            </w:pPr>
            <w:r w:rsidRPr="001248EE">
              <w:rPr>
                <w:b/>
              </w:rPr>
              <w:t>Tool</w:t>
            </w:r>
          </w:p>
        </w:tc>
        <w:tc>
          <w:tcPr>
            <w:tcW w:w="4950" w:type="dxa"/>
          </w:tcPr>
          <w:p w14:paraId="0170EEB8" w14:textId="77777777" w:rsidR="00C91288" w:rsidRPr="001248EE" w:rsidRDefault="00C91288" w:rsidP="00E41EC3">
            <w:pPr>
              <w:jc w:val="center"/>
              <w:rPr>
                <w:b/>
              </w:rPr>
            </w:pPr>
            <w:r w:rsidRPr="001248EE">
              <w:rPr>
                <w:b/>
              </w:rPr>
              <w:t>Description of how we use it</w:t>
            </w:r>
          </w:p>
        </w:tc>
        <w:tc>
          <w:tcPr>
            <w:tcW w:w="1350" w:type="dxa"/>
          </w:tcPr>
          <w:p w14:paraId="6482AF5B" w14:textId="77777777" w:rsidR="00C91288" w:rsidRPr="001248EE" w:rsidRDefault="00C91288" w:rsidP="00E41EC3">
            <w:pPr>
              <w:jc w:val="center"/>
              <w:rPr>
                <w:b/>
              </w:rPr>
            </w:pPr>
            <w:r w:rsidRPr="001248EE">
              <w:rPr>
                <w:b/>
              </w:rPr>
              <w:t>Version</w:t>
            </w:r>
          </w:p>
        </w:tc>
        <w:tc>
          <w:tcPr>
            <w:tcW w:w="1170" w:type="dxa"/>
          </w:tcPr>
          <w:p w14:paraId="048E1DD7" w14:textId="77777777" w:rsidR="00C91288" w:rsidRPr="001248EE" w:rsidRDefault="00C91288" w:rsidP="00E41EC3">
            <w:pPr>
              <w:jc w:val="center"/>
              <w:rPr>
                <w:b/>
              </w:rPr>
            </w:pPr>
            <w:r w:rsidRPr="001248EE">
              <w:rPr>
                <w:b/>
              </w:rPr>
              <w:t>Tier</w:t>
            </w:r>
          </w:p>
        </w:tc>
      </w:tr>
      <w:tr w:rsidR="00C91288" w14:paraId="474D0F1F" w14:textId="77777777" w:rsidTr="00E41EC3">
        <w:tc>
          <w:tcPr>
            <w:tcW w:w="1458" w:type="dxa"/>
          </w:tcPr>
          <w:p w14:paraId="46969256" w14:textId="77777777" w:rsidR="00C91288" w:rsidRPr="001248EE" w:rsidRDefault="00C91288" w:rsidP="00E41EC3">
            <w:r w:rsidRPr="001248EE">
              <w:t>Jenkins-CI</w:t>
            </w:r>
          </w:p>
        </w:tc>
        <w:tc>
          <w:tcPr>
            <w:tcW w:w="4950" w:type="dxa"/>
          </w:tcPr>
          <w:p w14:paraId="1978CA15" w14:textId="77777777" w:rsidR="00C91288" w:rsidRPr="001248EE" w:rsidRDefault="00C91288" w:rsidP="00E41EC3">
            <w:r w:rsidRPr="001248EE">
              <w:t>Used for continuous integration and supports our building and testing of functionality. It is also used to deploy our code across platforms.</w:t>
            </w:r>
          </w:p>
        </w:tc>
        <w:tc>
          <w:tcPr>
            <w:tcW w:w="1350" w:type="dxa"/>
          </w:tcPr>
          <w:p w14:paraId="49ED3D21" w14:textId="77777777" w:rsidR="00C91288" w:rsidRPr="001248EE" w:rsidRDefault="00C91288" w:rsidP="00E41EC3"/>
        </w:tc>
        <w:tc>
          <w:tcPr>
            <w:tcW w:w="1170" w:type="dxa"/>
          </w:tcPr>
          <w:p w14:paraId="2D4EE8FD" w14:textId="2C9E4535" w:rsidR="00C91288" w:rsidRPr="001248EE" w:rsidRDefault="00F31C4F" w:rsidP="00E41EC3">
            <w:r>
              <w:t>Build</w:t>
            </w:r>
          </w:p>
        </w:tc>
      </w:tr>
      <w:tr w:rsidR="00C91288" w14:paraId="7FE39559" w14:textId="77777777" w:rsidTr="00E41EC3">
        <w:tc>
          <w:tcPr>
            <w:tcW w:w="1458" w:type="dxa"/>
          </w:tcPr>
          <w:p w14:paraId="7249F099" w14:textId="77777777" w:rsidR="00C91288" w:rsidRDefault="00C91288" w:rsidP="00E41EC3">
            <w:r>
              <w:t>AWS</w:t>
            </w:r>
          </w:p>
          <w:p w14:paraId="19A023B5" w14:textId="77777777" w:rsidR="00C91288" w:rsidRPr="001248EE" w:rsidRDefault="00C91288" w:rsidP="00E41EC3">
            <w:proofErr w:type="spellStart"/>
            <w:r w:rsidRPr="001248EE">
              <w:t>CodeDeploy</w:t>
            </w:r>
            <w:proofErr w:type="spellEnd"/>
          </w:p>
        </w:tc>
        <w:tc>
          <w:tcPr>
            <w:tcW w:w="4950" w:type="dxa"/>
          </w:tcPr>
          <w:p w14:paraId="2F868FA0" w14:textId="77777777" w:rsidR="00C91288" w:rsidRPr="001248EE" w:rsidRDefault="00C91288" w:rsidP="00E41EC3">
            <w:r>
              <w:t>Used in our Continuous Deployment/Continuous Integration process to deploy our application to an AWS EC2 instance</w:t>
            </w:r>
          </w:p>
        </w:tc>
        <w:tc>
          <w:tcPr>
            <w:tcW w:w="1350" w:type="dxa"/>
          </w:tcPr>
          <w:p w14:paraId="5840C1CB" w14:textId="77777777" w:rsidR="00C91288" w:rsidRPr="001248EE" w:rsidRDefault="00C91288" w:rsidP="00E41EC3"/>
        </w:tc>
        <w:tc>
          <w:tcPr>
            <w:tcW w:w="1170" w:type="dxa"/>
          </w:tcPr>
          <w:p w14:paraId="47576C53" w14:textId="58081C61" w:rsidR="00C91288" w:rsidRPr="001248EE" w:rsidRDefault="00F31C4F" w:rsidP="00E41EC3">
            <w:r>
              <w:t>Build</w:t>
            </w:r>
          </w:p>
        </w:tc>
      </w:tr>
      <w:tr w:rsidR="00C91288" w14:paraId="673F2CEA" w14:textId="77777777" w:rsidTr="00E41EC3">
        <w:tc>
          <w:tcPr>
            <w:tcW w:w="1458" w:type="dxa"/>
          </w:tcPr>
          <w:p w14:paraId="58E5786F" w14:textId="77777777" w:rsidR="00C91288" w:rsidRPr="001248EE" w:rsidRDefault="00C91288" w:rsidP="00E41EC3">
            <w:r w:rsidRPr="001248EE">
              <w:t>HTML5</w:t>
            </w:r>
          </w:p>
        </w:tc>
        <w:tc>
          <w:tcPr>
            <w:tcW w:w="4950" w:type="dxa"/>
            <w:shd w:val="clear" w:color="auto" w:fill="FFFFFF" w:themeFill="background1"/>
          </w:tcPr>
          <w:p w14:paraId="764A12F6" w14:textId="77777777" w:rsidR="00C91288" w:rsidRPr="001248EE" w:rsidRDefault="00C91288" w:rsidP="00E41EC3">
            <w:r>
              <w:t xml:space="preserve">Used for </w:t>
            </w:r>
            <w:r w:rsidRPr="004A6569">
              <w:t>structuring and presenting content</w:t>
            </w:r>
            <w:r>
              <w:t xml:space="preserve"> </w:t>
            </w:r>
          </w:p>
        </w:tc>
        <w:tc>
          <w:tcPr>
            <w:tcW w:w="1350" w:type="dxa"/>
          </w:tcPr>
          <w:p w14:paraId="12C66301" w14:textId="77777777" w:rsidR="00C91288" w:rsidRPr="001248EE" w:rsidRDefault="00C91288" w:rsidP="00E41EC3"/>
        </w:tc>
        <w:tc>
          <w:tcPr>
            <w:tcW w:w="1170" w:type="dxa"/>
          </w:tcPr>
          <w:p w14:paraId="5FD0C5BF" w14:textId="4A35887C" w:rsidR="00C91288" w:rsidRPr="001248EE" w:rsidRDefault="00F31C4F" w:rsidP="00E41EC3">
            <w:r>
              <w:t>Front</w:t>
            </w:r>
          </w:p>
        </w:tc>
      </w:tr>
      <w:tr w:rsidR="00C91288" w14:paraId="5C9A0661" w14:textId="77777777" w:rsidTr="00E41EC3">
        <w:tc>
          <w:tcPr>
            <w:tcW w:w="1458" w:type="dxa"/>
            <w:shd w:val="clear" w:color="auto" w:fill="auto"/>
          </w:tcPr>
          <w:p w14:paraId="7DAB08DC" w14:textId="77777777" w:rsidR="00C91288" w:rsidRPr="007E2F37" w:rsidRDefault="00C91288" w:rsidP="00E41EC3">
            <w:r w:rsidRPr="007E2F37">
              <w:t>CSS3</w:t>
            </w:r>
          </w:p>
        </w:tc>
        <w:tc>
          <w:tcPr>
            <w:tcW w:w="4950" w:type="dxa"/>
            <w:shd w:val="clear" w:color="auto" w:fill="auto"/>
          </w:tcPr>
          <w:p w14:paraId="257FE9CB" w14:textId="77777777" w:rsidR="00C91288" w:rsidRPr="001248EE" w:rsidRDefault="00C91288" w:rsidP="00E41EC3">
            <w:r w:rsidRPr="007E2F37">
              <w:t xml:space="preserve">Language that helps modify the templates coming from Bootstrap and </w:t>
            </w:r>
            <w:proofErr w:type="spellStart"/>
            <w:r w:rsidRPr="007E2F37">
              <w:t>AngularJS</w:t>
            </w:r>
            <w:proofErr w:type="spellEnd"/>
            <w:r w:rsidRPr="007E2F37">
              <w:t xml:space="preserve"> </w:t>
            </w:r>
          </w:p>
        </w:tc>
        <w:tc>
          <w:tcPr>
            <w:tcW w:w="1350" w:type="dxa"/>
            <w:shd w:val="clear" w:color="auto" w:fill="auto"/>
          </w:tcPr>
          <w:p w14:paraId="3738CC9D" w14:textId="77777777" w:rsidR="00C91288" w:rsidRDefault="00C91288" w:rsidP="00E41EC3"/>
        </w:tc>
        <w:tc>
          <w:tcPr>
            <w:tcW w:w="1170" w:type="dxa"/>
            <w:shd w:val="clear" w:color="auto" w:fill="auto"/>
          </w:tcPr>
          <w:p w14:paraId="190E81E6" w14:textId="02C1CF52" w:rsidR="00C91288" w:rsidRPr="001248EE" w:rsidRDefault="00F31C4F" w:rsidP="00E41EC3">
            <w:r>
              <w:t>Front</w:t>
            </w:r>
          </w:p>
        </w:tc>
      </w:tr>
      <w:tr w:rsidR="00C91288" w14:paraId="7A874435" w14:textId="77777777" w:rsidTr="00E41EC3">
        <w:tc>
          <w:tcPr>
            <w:tcW w:w="1458" w:type="dxa"/>
          </w:tcPr>
          <w:p w14:paraId="1BF3AF6D" w14:textId="77777777" w:rsidR="00C91288" w:rsidRPr="001248EE" w:rsidRDefault="00C91288" w:rsidP="00E41EC3">
            <w:proofErr w:type="spellStart"/>
            <w:r w:rsidRPr="001248EE">
              <w:t>AngularJS</w:t>
            </w:r>
            <w:proofErr w:type="spellEnd"/>
          </w:p>
        </w:tc>
        <w:tc>
          <w:tcPr>
            <w:tcW w:w="4950" w:type="dxa"/>
          </w:tcPr>
          <w:p w14:paraId="6E9DA98F" w14:textId="77777777" w:rsidR="00C91288" w:rsidRPr="00860F4C" w:rsidRDefault="00C91288" w:rsidP="00E41EC3">
            <w:pPr>
              <w:rPr>
                <w:color w:val="FF0000"/>
              </w:rPr>
            </w:pPr>
            <w:r>
              <w:t>The toolset with which we consume, repackage, and display FDA’s data.</w:t>
            </w:r>
            <w:r w:rsidRPr="001248EE">
              <w:t xml:space="preserve"> Due to its extensible characteristic, it works well with the libraries in our development environment.</w:t>
            </w:r>
            <w:r>
              <w:t xml:space="preserve"> It allows us to </w:t>
            </w:r>
            <w:r w:rsidRPr="00860F4C">
              <w:t>pass returned and repackaged data</w:t>
            </w:r>
            <w:r>
              <w:t xml:space="preserve"> (received from the API)</w:t>
            </w:r>
            <w:r w:rsidRPr="00860F4C">
              <w:t xml:space="preserve"> to the user's browser</w:t>
            </w:r>
            <w:r w:rsidRPr="00D96FA3">
              <w:rPr>
                <w:color w:val="FF0000"/>
              </w:rPr>
              <w:t>.</w:t>
            </w:r>
          </w:p>
        </w:tc>
        <w:tc>
          <w:tcPr>
            <w:tcW w:w="1350" w:type="dxa"/>
          </w:tcPr>
          <w:p w14:paraId="317EBF4C" w14:textId="77777777" w:rsidR="00C91288" w:rsidRPr="001248EE" w:rsidRDefault="00C91288" w:rsidP="00E41EC3">
            <w:r>
              <w:t>1.3.16</w:t>
            </w:r>
          </w:p>
        </w:tc>
        <w:tc>
          <w:tcPr>
            <w:tcW w:w="1170" w:type="dxa"/>
          </w:tcPr>
          <w:p w14:paraId="667D9342" w14:textId="77777777" w:rsidR="00C91288" w:rsidRPr="001248EE" w:rsidRDefault="00C91288" w:rsidP="00E41EC3">
            <w:r>
              <w:t>Front</w:t>
            </w:r>
          </w:p>
        </w:tc>
      </w:tr>
      <w:tr w:rsidR="00C91288" w14:paraId="253C587F" w14:textId="77777777" w:rsidTr="00E41EC3">
        <w:tc>
          <w:tcPr>
            <w:tcW w:w="1458" w:type="dxa"/>
          </w:tcPr>
          <w:p w14:paraId="3250A169" w14:textId="77777777" w:rsidR="00C91288" w:rsidRPr="001248EE" w:rsidRDefault="00C91288" w:rsidP="00E41EC3">
            <w:r w:rsidRPr="001248EE">
              <w:t>Bower</w:t>
            </w:r>
          </w:p>
        </w:tc>
        <w:tc>
          <w:tcPr>
            <w:tcW w:w="4950" w:type="dxa"/>
          </w:tcPr>
          <w:p w14:paraId="5A4D123C" w14:textId="77777777" w:rsidR="00C91288" w:rsidRPr="001248EE" w:rsidRDefault="00C91288" w:rsidP="00E41EC3">
            <w:r>
              <w:t>One of two package managers that we utilized to pull down code packages to help fortify the application</w:t>
            </w:r>
            <w:r w:rsidRPr="00C00FB5">
              <w:t xml:space="preserve">. </w:t>
            </w:r>
            <w:r>
              <w:t>(</w:t>
            </w: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is the other). </w:t>
            </w:r>
            <w:r w:rsidRPr="006A5CB8">
              <w:t>This step updates the configuration file(s) to include the new dependencies.</w:t>
            </w:r>
          </w:p>
        </w:tc>
        <w:tc>
          <w:tcPr>
            <w:tcW w:w="1350" w:type="dxa"/>
          </w:tcPr>
          <w:p w14:paraId="59C16083" w14:textId="77777777" w:rsidR="00C91288" w:rsidRPr="001248EE" w:rsidRDefault="00C91288" w:rsidP="00E41EC3">
            <w:r>
              <w:t>1.4.1</w:t>
            </w:r>
          </w:p>
        </w:tc>
        <w:tc>
          <w:tcPr>
            <w:tcW w:w="1170" w:type="dxa"/>
          </w:tcPr>
          <w:p w14:paraId="6AA05DD3" w14:textId="77777777" w:rsidR="00C91288" w:rsidRPr="001248EE" w:rsidRDefault="00C91288" w:rsidP="00E41EC3">
            <w:r>
              <w:t>Front</w:t>
            </w:r>
          </w:p>
        </w:tc>
      </w:tr>
      <w:tr w:rsidR="00C91288" w14:paraId="4C49FCC9" w14:textId="77777777" w:rsidTr="00E41EC3">
        <w:tc>
          <w:tcPr>
            <w:tcW w:w="1458" w:type="dxa"/>
          </w:tcPr>
          <w:p w14:paraId="171BC8BF" w14:textId="77777777" w:rsidR="00C91288" w:rsidRPr="001248EE" w:rsidRDefault="00C91288" w:rsidP="00E41EC3">
            <w:r w:rsidRPr="001248EE">
              <w:t>JSON</w:t>
            </w:r>
          </w:p>
        </w:tc>
        <w:tc>
          <w:tcPr>
            <w:tcW w:w="4950" w:type="dxa"/>
          </w:tcPr>
          <w:p w14:paraId="1FF0FB3D" w14:textId="77777777" w:rsidR="00C91288" w:rsidRPr="001248EE" w:rsidRDefault="00C91288" w:rsidP="00E41EC3">
            <w:r w:rsidRPr="001248EE">
              <w:t xml:space="preserve">JavaScript Object Notation has been used primarily to </w:t>
            </w:r>
            <w:r>
              <w:t xml:space="preserve">exchange data between our server, application </w:t>
            </w:r>
            <w:r w:rsidRPr="00E9686C">
              <w:t xml:space="preserve">and </w:t>
            </w:r>
            <w:proofErr w:type="spellStart"/>
            <w:r w:rsidRPr="00E9686C">
              <w:t>openFDA</w:t>
            </w:r>
            <w:proofErr w:type="spellEnd"/>
            <w:r w:rsidRPr="00E9686C">
              <w:t xml:space="preserve"> API</w:t>
            </w:r>
          </w:p>
          <w:p w14:paraId="7AE3214F" w14:textId="77777777" w:rsidR="00C91288" w:rsidRPr="001248EE" w:rsidRDefault="00C91288" w:rsidP="00E41EC3"/>
        </w:tc>
        <w:tc>
          <w:tcPr>
            <w:tcW w:w="1350" w:type="dxa"/>
          </w:tcPr>
          <w:p w14:paraId="7681BED8" w14:textId="77777777" w:rsidR="00C91288" w:rsidRPr="001248EE" w:rsidRDefault="00C91288" w:rsidP="00E41EC3"/>
        </w:tc>
        <w:tc>
          <w:tcPr>
            <w:tcW w:w="1170" w:type="dxa"/>
          </w:tcPr>
          <w:p w14:paraId="6A835B14" w14:textId="77777777" w:rsidR="00C91288" w:rsidRPr="001248EE" w:rsidRDefault="00C91288" w:rsidP="00E41EC3">
            <w:r w:rsidRPr="00E9686C">
              <w:t>Data</w:t>
            </w:r>
          </w:p>
        </w:tc>
      </w:tr>
      <w:tr w:rsidR="00C91288" w:rsidRPr="00340C0D" w14:paraId="7806CD82" w14:textId="77777777" w:rsidTr="00E41EC3">
        <w:tc>
          <w:tcPr>
            <w:tcW w:w="1458" w:type="dxa"/>
          </w:tcPr>
          <w:p w14:paraId="4D7381C9" w14:textId="77777777" w:rsidR="00C91288" w:rsidRPr="00D96FA3" w:rsidRDefault="00C91288" w:rsidP="00E41EC3">
            <w:pPr>
              <w:rPr>
                <w:strike/>
              </w:rPr>
            </w:pPr>
            <w:r>
              <w:t>Mocha</w:t>
            </w:r>
          </w:p>
        </w:tc>
        <w:tc>
          <w:tcPr>
            <w:tcW w:w="4950" w:type="dxa"/>
          </w:tcPr>
          <w:p w14:paraId="6346E2E5" w14:textId="77777777" w:rsidR="00C91288" w:rsidRPr="00340C0D" w:rsidRDefault="00C91288" w:rsidP="00E41EC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</w:t>
            </w:r>
            <w:r w:rsidRPr="00340C0D">
              <w:rPr>
                <w:bCs/>
                <w:color w:val="000000"/>
              </w:rPr>
              <w:t xml:space="preserve">as been used to automate and document unit testing for the site/application </w:t>
            </w:r>
          </w:p>
          <w:p w14:paraId="317B5418" w14:textId="77777777" w:rsidR="00C91288" w:rsidRPr="00340C0D" w:rsidRDefault="00C91288" w:rsidP="00E41EC3"/>
        </w:tc>
        <w:tc>
          <w:tcPr>
            <w:tcW w:w="1350" w:type="dxa"/>
          </w:tcPr>
          <w:p w14:paraId="6355DB95" w14:textId="77777777" w:rsidR="00C91288" w:rsidRPr="00340C0D" w:rsidRDefault="00C91288" w:rsidP="00E41EC3">
            <w:r w:rsidRPr="00340C0D">
              <w:t>0.16.1</w:t>
            </w:r>
          </w:p>
        </w:tc>
        <w:tc>
          <w:tcPr>
            <w:tcW w:w="1170" w:type="dxa"/>
          </w:tcPr>
          <w:p w14:paraId="6FD5CC2D" w14:textId="77777777" w:rsidR="00C91288" w:rsidRPr="00340C0D" w:rsidRDefault="00C91288" w:rsidP="00E41EC3">
            <w:r w:rsidRPr="00340C0D">
              <w:t>Test</w:t>
            </w:r>
          </w:p>
        </w:tc>
      </w:tr>
      <w:tr w:rsidR="00C91288" w14:paraId="38A01108" w14:textId="77777777" w:rsidTr="00E41EC3">
        <w:tc>
          <w:tcPr>
            <w:tcW w:w="1458" w:type="dxa"/>
          </w:tcPr>
          <w:p w14:paraId="588B824D" w14:textId="5C411526" w:rsidR="00C91288" w:rsidRPr="001248EE" w:rsidRDefault="00F31C4F" w:rsidP="00E41EC3">
            <w:proofErr w:type="spellStart"/>
            <w:r>
              <w:t>n</w:t>
            </w:r>
            <w:r w:rsidR="00C91288" w:rsidRPr="001248EE">
              <w:t>p</w:t>
            </w:r>
            <w:r w:rsidR="00C91288">
              <w:t>m</w:t>
            </w:r>
            <w:proofErr w:type="spellEnd"/>
          </w:p>
        </w:tc>
        <w:tc>
          <w:tcPr>
            <w:tcW w:w="4950" w:type="dxa"/>
          </w:tcPr>
          <w:p w14:paraId="7B12BB8E" w14:textId="77777777" w:rsidR="00C91288" w:rsidRPr="00C00FB5" w:rsidRDefault="00C91288" w:rsidP="00E41EC3">
            <w:r>
              <w:t>One of two package managers that we utilized to pull down code packages to help fortify the application</w:t>
            </w:r>
            <w:r w:rsidRPr="00C00FB5">
              <w:t xml:space="preserve">. </w:t>
            </w:r>
            <w:r>
              <w:t xml:space="preserve">(Bower is the other) </w:t>
            </w:r>
          </w:p>
        </w:tc>
        <w:tc>
          <w:tcPr>
            <w:tcW w:w="1350" w:type="dxa"/>
          </w:tcPr>
          <w:p w14:paraId="18B232E5" w14:textId="77777777" w:rsidR="00C91288" w:rsidRPr="00C00FB5" w:rsidRDefault="00C91288" w:rsidP="00E41EC3">
            <w:r w:rsidRPr="00C00FB5">
              <w:t>1.3.10</w:t>
            </w:r>
          </w:p>
        </w:tc>
        <w:tc>
          <w:tcPr>
            <w:tcW w:w="1170" w:type="dxa"/>
          </w:tcPr>
          <w:p w14:paraId="07573BDC" w14:textId="77777777" w:rsidR="00C91288" w:rsidRPr="00C00FB5" w:rsidRDefault="00C91288" w:rsidP="00E41EC3">
            <w:r w:rsidRPr="00C00FB5">
              <w:t>Build tool</w:t>
            </w:r>
          </w:p>
        </w:tc>
      </w:tr>
      <w:tr w:rsidR="00C91288" w14:paraId="12A700B9" w14:textId="77777777" w:rsidTr="00E41EC3">
        <w:tc>
          <w:tcPr>
            <w:tcW w:w="1458" w:type="dxa"/>
          </w:tcPr>
          <w:p w14:paraId="2ECA68A4" w14:textId="77777777" w:rsidR="00C91288" w:rsidRPr="001248EE" w:rsidRDefault="00C91288" w:rsidP="00E41EC3">
            <w:r w:rsidRPr="001248EE">
              <w:t>Node.js</w:t>
            </w:r>
          </w:p>
        </w:tc>
        <w:tc>
          <w:tcPr>
            <w:tcW w:w="4950" w:type="dxa"/>
          </w:tcPr>
          <w:p w14:paraId="261D362B" w14:textId="77777777" w:rsidR="00C91288" w:rsidRPr="001248EE" w:rsidRDefault="00C91288" w:rsidP="00E41EC3">
            <w:r w:rsidRPr="001248EE">
              <w:t>Build and serve up our code for the event-driven, non-blocking I/O functionality to make it lightweight and efficient well suited for our data-</w:t>
            </w:r>
            <w:r w:rsidRPr="001248EE">
              <w:lastRenderedPageBreak/>
              <w:t>intensive real-time app that runs across distributed devices.</w:t>
            </w:r>
          </w:p>
        </w:tc>
        <w:tc>
          <w:tcPr>
            <w:tcW w:w="1350" w:type="dxa"/>
          </w:tcPr>
          <w:p w14:paraId="49B3DA40" w14:textId="77777777" w:rsidR="00C91288" w:rsidRPr="001248EE" w:rsidRDefault="00C91288" w:rsidP="00E41EC3">
            <w:r>
              <w:lastRenderedPageBreak/>
              <w:t>0.10.25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3C89FCC" w14:textId="77777777" w:rsidR="00C91288" w:rsidRPr="008E2610" w:rsidRDefault="00C91288" w:rsidP="00E41EC3">
            <w:pPr>
              <w:rPr>
                <w:strike/>
              </w:rPr>
            </w:pPr>
            <w:r w:rsidRPr="00C756FF">
              <w:t>Mid</w:t>
            </w:r>
          </w:p>
        </w:tc>
      </w:tr>
      <w:tr w:rsidR="00C91288" w14:paraId="064F9ED9" w14:textId="77777777" w:rsidTr="00E41EC3">
        <w:tc>
          <w:tcPr>
            <w:tcW w:w="1458" w:type="dxa"/>
          </w:tcPr>
          <w:p w14:paraId="2BD361BF" w14:textId="77777777" w:rsidR="00C91288" w:rsidRPr="001248EE" w:rsidRDefault="00C91288" w:rsidP="00E41EC3">
            <w:r w:rsidRPr="001248EE">
              <w:lastRenderedPageBreak/>
              <w:t>Bootstrap</w:t>
            </w:r>
          </w:p>
        </w:tc>
        <w:tc>
          <w:tcPr>
            <w:tcW w:w="4950" w:type="dxa"/>
          </w:tcPr>
          <w:p w14:paraId="67599A20" w14:textId="77777777" w:rsidR="00C91288" w:rsidRPr="001248EE" w:rsidRDefault="00C91288" w:rsidP="00E41EC3">
            <w:r w:rsidRPr="001248EE">
              <w:t xml:space="preserve">Our </w:t>
            </w:r>
            <w:r>
              <w:t>responsive design, mobile first, front end framework</w:t>
            </w:r>
          </w:p>
        </w:tc>
        <w:tc>
          <w:tcPr>
            <w:tcW w:w="1350" w:type="dxa"/>
          </w:tcPr>
          <w:p w14:paraId="737AB13D" w14:textId="77777777" w:rsidR="00C91288" w:rsidRPr="001248EE" w:rsidRDefault="00C91288" w:rsidP="00E41EC3">
            <w:r w:rsidRPr="001248EE">
              <w:t>3.3.5</w:t>
            </w:r>
          </w:p>
        </w:tc>
        <w:tc>
          <w:tcPr>
            <w:tcW w:w="1170" w:type="dxa"/>
            <w:shd w:val="clear" w:color="auto" w:fill="auto"/>
          </w:tcPr>
          <w:p w14:paraId="44EE556A" w14:textId="77777777" w:rsidR="00C91288" w:rsidRPr="001248EE" w:rsidRDefault="00C91288" w:rsidP="00E41EC3">
            <w:r>
              <w:t>Front</w:t>
            </w:r>
          </w:p>
        </w:tc>
      </w:tr>
      <w:tr w:rsidR="00C91288" w14:paraId="60193687" w14:textId="77777777" w:rsidTr="00E41EC3">
        <w:tc>
          <w:tcPr>
            <w:tcW w:w="1458" w:type="dxa"/>
          </w:tcPr>
          <w:p w14:paraId="378DAE6B" w14:textId="77777777" w:rsidR="00C91288" w:rsidRPr="001248EE" w:rsidRDefault="00C91288" w:rsidP="00E41EC3">
            <w:r w:rsidRPr="001248EE">
              <w:t>Ubuntu</w:t>
            </w:r>
          </w:p>
        </w:tc>
        <w:tc>
          <w:tcPr>
            <w:tcW w:w="4950" w:type="dxa"/>
          </w:tcPr>
          <w:p w14:paraId="51691291" w14:textId="77777777" w:rsidR="00C91288" w:rsidRDefault="00C91288" w:rsidP="00E41EC3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Our operating system of choice for hosting applications and containers, due to its robust user and support community.</w:t>
            </w:r>
          </w:p>
        </w:tc>
        <w:tc>
          <w:tcPr>
            <w:tcW w:w="1350" w:type="dxa"/>
          </w:tcPr>
          <w:p w14:paraId="46FA1A65" w14:textId="77777777" w:rsidR="00C91288" w:rsidRDefault="00C91288" w:rsidP="00E41EC3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14.04</w:t>
            </w:r>
          </w:p>
        </w:tc>
        <w:tc>
          <w:tcPr>
            <w:tcW w:w="1170" w:type="dxa"/>
          </w:tcPr>
          <w:p w14:paraId="03D366BE" w14:textId="59E7930D" w:rsidR="00C91288" w:rsidRDefault="00F31C4F" w:rsidP="00E41EC3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OS</w:t>
            </w:r>
          </w:p>
        </w:tc>
      </w:tr>
      <w:tr w:rsidR="00C91288" w14:paraId="770BB65F" w14:textId="77777777" w:rsidTr="00E41EC3">
        <w:tc>
          <w:tcPr>
            <w:tcW w:w="1458" w:type="dxa"/>
          </w:tcPr>
          <w:p w14:paraId="424DB907" w14:textId="77777777" w:rsidR="00C91288" w:rsidRPr="001248EE" w:rsidRDefault="00C91288" w:rsidP="00E41EC3">
            <w:proofErr w:type="spellStart"/>
            <w:r w:rsidRPr="001248EE">
              <w:t>Docker</w:t>
            </w:r>
            <w:proofErr w:type="spellEnd"/>
          </w:p>
        </w:tc>
        <w:tc>
          <w:tcPr>
            <w:tcW w:w="4950" w:type="dxa"/>
          </w:tcPr>
          <w:p w14:paraId="3AC00F2B" w14:textId="77777777" w:rsidR="00C91288" w:rsidRPr="001248EE" w:rsidRDefault="00C91288" w:rsidP="00E41EC3">
            <w:pPr>
              <w:pStyle w:val="PlainTex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1248EE">
              <w:rPr>
                <w:rFonts w:ascii="Times New Roman" w:eastAsia="Times New Roman" w:hAnsi="Times New Roman" w:cs="Times New Roman"/>
                <w:szCs w:val="24"/>
              </w:rPr>
              <w:t xml:space="preserve">sed to build, deploy, and run our application in our AWS environment Virtual Machines (VM). </w:t>
            </w:r>
            <w:proofErr w:type="spellStart"/>
            <w:r w:rsidRPr="001248EE">
              <w:rPr>
                <w:rFonts w:ascii="Times New Roman" w:eastAsia="Times New Roman" w:hAnsi="Times New Roman" w:cs="Times New Roman"/>
                <w:szCs w:val="24"/>
              </w:rPr>
              <w:t>Docker</w:t>
            </w:r>
            <w:proofErr w:type="spellEnd"/>
            <w:r w:rsidRPr="001248EE">
              <w:rPr>
                <w:rFonts w:ascii="Times New Roman" w:eastAsia="Times New Roman" w:hAnsi="Times New Roman" w:cs="Times New Roman"/>
                <w:szCs w:val="24"/>
              </w:rPr>
              <w:t xml:space="preserve"> is being deployed to auto build containers based on the </w:t>
            </w:r>
            <w:r>
              <w:rPr>
                <w:rFonts w:ascii="Times New Roman" w:eastAsia="Times New Roman" w:hAnsi="Times New Roman" w:cs="Times New Roman"/>
                <w:szCs w:val="24"/>
              </w:rPr>
              <w:t>GIT</w:t>
            </w:r>
            <w:r w:rsidRPr="001248EE">
              <w:rPr>
                <w:rFonts w:ascii="Times New Roman" w:eastAsia="Times New Roman" w:hAnsi="Times New Roman" w:cs="Times New Roman"/>
                <w:szCs w:val="24"/>
              </w:rPr>
              <w:t xml:space="preserve"> master branch.</w:t>
            </w:r>
          </w:p>
          <w:p w14:paraId="7512C55A" w14:textId="77777777" w:rsidR="00C91288" w:rsidRPr="001248EE" w:rsidRDefault="00C91288" w:rsidP="00E41EC3"/>
        </w:tc>
        <w:tc>
          <w:tcPr>
            <w:tcW w:w="1350" w:type="dxa"/>
          </w:tcPr>
          <w:p w14:paraId="6C29FAA4" w14:textId="77777777" w:rsidR="00C91288" w:rsidRPr="001248EE" w:rsidRDefault="00C91288" w:rsidP="00E41EC3">
            <w:r>
              <w:t>1.0.1</w:t>
            </w:r>
          </w:p>
        </w:tc>
        <w:tc>
          <w:tcPr>
            <w:tcW w:w="1170" w:type="dxa"/>
          </w:tcPr>
          <w:p w14:paraId="2181439E" w14:textId="5C9CD310" w:rsidR="00C91288" w:rsidRPr="001248EE" w:rsidRDefault="00F31C4F" w:rsidP="00E41EC3">
            <w:r>
              <w:t>Container</w:t>
            </w:r>
          </w:p>
        </w:tc>
      </w:tr>
      <w:tr w:rsidR="00C91288" w14:paraId="671915A7" w14:textId="77777777" w:rsidTr="00E41EC3">
        <w:tc>
          <w:tcPr>
            <w:tcW w:w="1458" w:type="dxa"/>
          </w:tcPr>
          <w:p w14:paraId="176060A3" w14:textId="77777777" w:rsidR="00C91288" w:rsidRPr="001248EE" w:rsidRDefault="00C91288" w:rsidP="00E41EC3">
            <w:r w:rsidRPr="001248EE">
              <w:t>Express</w:t>
            </w:r>
          </w:p>
        </w:tc>
        <w:tc>
          <w:tcPr>
            <w:tcW w:w="4950" w:type="dxa"/>
          </w:tcPr>
          <w:p w14:paraId="67680615" w14:textId="77777777" w:rsidR="00C91288" w:rsidRPr="001248EE" w:rsidRDefault="00C91288" w:rsidP="00E41EC3">
            <w:r w:rsidRPr="001248EE">
              <w:t>(</w:t>
            </w:r>
            <w:r>
              <w:t>L</w:t>
            </w:r>
            <w:r w:rsidRPr="001248EE">
              <w:t>ibrary) Works with Node.js to bundle the query request to pass to FDA’s API (Express Passes queries from browser to API a</w:t>
            </w:r>
            <w:r>
              <w:t>nd brings results to the server to be served to the user browser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BE4EAA" w14:textId="77777777" w:rsidR="00C91288" w:rsidRPr="001248EE" w:rsidRDefault="00C91288" w:rsidP="00E41EC3">
            <w:r>
              <w:t>4.12.4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BDC8CF9" w14:textId="77777777" w:rsidR="00C91288" w:rsidRPr="001248EE" w:rsidRDefault="00C91288" w:rsidP="00E41EC3">
            <w:r w:rsidRPr="001248EE">
              <w:t>Mid</w:t>
            </w:r>
          </w:p>
        </w:tc>
      </w:tr>
      <w:tr w:rsidR="00C91288" w14:paraId="3DB22D2F" w14:textId="77777777" w:rsidTr="00E41EC3">
        <w:tc>
          <w:tcPr>
            <w:tcW w:w="1458" w:type="dxa"/>
          </w:tcPr>
          <w:p w14:paraId="4860A8C5" w14:textId="77777777" w:rsidR="00C91288" w:rsidRPr="001248EE" w:rsidRDefault="00C91288" w:rsidP="00E41EC3">
            <w:proofErr w:type="spellStart"/>
            <w:r w:rsidRPr="001248EE">
              <w:t>jQuery</w:t>
            </w:r>
            <w:proofErr w:type="spellEnd"/>
          </w:p>
        </w:tc>
        <w:tc>
          <w:tcPr>
            <w:tcW w:w="4950" w:type="dxa"/>
          </w:tcPr>
          <w:p w14:paraId="3F376622" w14:textId="77777777" w:rsidR="00C91288" w:rsidRPr="001248EE" w:rsidRDefault="00C91288" w:rsidP="00E41EC3">
            <w:r>
              <w:t>U</w:t>
            </w:r>
            <w:r w:rsidRPr="001248EE">
              <w:t>sed to simplify our client-side scripting</w:t>
            </w:r>
          </w:p>
        </w:tc>
        <w:tc>
          <w:tcPr>
            <w:tcW w:w="1350" w:type="dxa"/>
          </w:tcPr>
          <w:p w14:paraId="4B55F4A7" w14:textId="77777777" w:rsidR="00C91288" w:rsidRPr="001248EE" w:rsidRDefault="00C91288" w:rsidP="00E41EC3">
            <w:r>
              <w:t>1.11.3</w:t>
            </w:r>
          </w:p>
        </w:tc>
        <w:tc>
          <w:tcPr>
            <w:tcW w:w="1170" w:type="dxa"/>
            <w:shd w:val="clear" w:color="auto" w:fill="auto"/>
          </w:tcPr>
          <w:p w14:paraId="3B977D64" w14:textId="77777777" w:rsidR="00C91288" w:rsidRPr="001248EE" w:rsidRDefault="00C91288" w:rsidP="00E41EC3">
            <w:r>
              <w:t>Mid</w:t>
            </w:r>
          </w:p>
        </w:tc>
      </w:tr>
      <w:tr w:rsidR="00C91288" w:rsidRPr="001248EE" w14:paraId="4A689407" w14:textId="77777777" w:rsidTr="00E41EC3">
        <w:tc>
          <w:tcPr>
            <w:tcW w:w="1458" w:type="dxa"/>
          </w:tcPr>
          <w:p w14:paraId="777C4554" w14:textId="77777777" w:rsidR="00C91288" w:rsidRPr="001248EE" w:rsidRDefault="00C91288" w:rsidP="00E41EC3">
            <w:r>
              <w:t>Selenium</w:t>
            </w:r>
          </w:p>
        </w:tc>
        <w:tc>
          <w:tcPr>
            <w:tcW w:w="4950" w:type="dxa"/>
          </w:tcPr>
          <w:p w14:paraId="757C9EE0" w14:textId="77777777" w:rsidR="00C91288" w:rsidRPr="001248EE" w:rsidRDefault="00C91288" w:rsidP="00E41EC3">
            <w:r>
              <w:t>Is used to automate application testing via the browser</w:t>
            </w:r>
          </w:p>
        </w:tc>
        <w:tc>
          <w:tcPr>
            <w:tcW w:w="1350" w:type="dxa"/>
          </w:tcPr>
          <w:p w14:paraId="48E7DEDA" w14:textId="77777777" w:rsidR="00C91288" w:rsidRPr="001248EE" w:rsidRDefault="00C91288" w:rsidP="00E41EC3">
            <w:r>
              <w:t>2.90</w:t>
            </w:r>
          </w:p>
        </w:tc>
        <w:tc>
          <w:tcPr>
            <w:tcW w:w="1170" w:type="dxa"/>
          </w:tcPr>
          <w:p w14:paraId="025D2532" w14:textId="657028B6" w:rsidR="00C91288" w:rsidRPr="001248EE" w:rsidRDefault="00F31C4F" w:rsidP="00E41EC3">
            <w:r>
              <w:t>UI Test</w:t>
            </w:r>
          </w:p>
        </w:tc>
      </w:tr>
      <w:tr w:rsidR="00C91288" w:rsidRPr="001248EE" w14:paraId="15C22E54" w14:textId="77777777" w:rsidTr="00E41EC3">
        <w:tc>
          <w:tcPr>
            <w:tcW w:w="1458" w:type="dxa"/>
          </w:tcPr>
          <w:p w14:paraId="2903B879" w14:textId="77777777" w:rsidR="00C91288" w:rsidRPr="001248EE" w:rsidRDefault="00C91288" w:rsidP="00E41EC3">
            <w:r>
              <w:t>WAT</w:t>
            </w:r>
          </w:p>
        </w:tc>
        <w:tc>
          <w:tcPr>
            <w:tcW w:w="4950" w:type="dxa"/>
          </w:tcPr>
          <w:p w14:paraId="0EC8C1F7" w14:textId="77777777" w:rsidR="00C91288" w:rsidRPr="001248EE" w:rsidRDefault="00C91288" w:rsidP="00E41EC3">
            <w:r>
              <w:t>Used to conduct 508 testing on the application</w:t>
            </w:r>
          </w:p>
        </w:tc>
        <w:tc>
          <w:tcPr>
            <w:tcW w:w="1350" w:type="dxa"/>
          </w:tcPr>
          <w:p w14:paraId="46C5E990" w14:textId="77777777" w:rsidR="00C91288" w:rsidRPr="001248EE" w:rsidRDefault="00C91288" w:rsidP="00E41EC3">
            <w:r>
              <w:t>2012-09-13</w:t>
            </w:r>
          </w:p>
        </w:tc>
        <w:tc>
          <w:tcPr>
            <w:tcW w:w="1170" w:type="dxa"/>
          </w:tcPr>
          <w:p w14:paraId="319E0212" w14:textId="1AD6CA0D" w:rsidR="00C91288" w:rsidRPr="001248EE" w:rsidRDefault="00F31C4F" w:rsidP="00E41EC3">
            <w:r>
              <w:t>508 Test</w:t>
            </w:r>
          </w:p>
        </w:tc>
      </w:tr>
    </w:tbl>
    <w:p w14:paraId="75A691B7" w14:textId="77777777" w:rsidR="00C91288" w:rsidRPr="00E85BBC" w:rsidRDefault="00C91288" w:rsidP="000B41EC">
      <w:pPr>
        <w:rPr>
          <w:rFonts w:asciiTheme="minorHAnsi" w:hAnsiTheme="minorHAnsi"/>
          <w:highlight w:val="yellow"/>
        </w:rPr>
      </w:pPr>
    </w:p>
    <w:sectPr w:rsidR="00C91288" w:rsidRPr="00E85BBC" w:rsidSect="002343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0F94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63526" w14:textId="77777777" w:rsidR="00A716CA" w:rsidRDefault="00A716CA" w:rsidP="00234383">
      <w:r>
        <w:separator/>
      </w:r>
    </w:p>
  </w:endnote>
  <w:endnote w:type="continuationSeparator" w:id="0">
    <w:p w14:paraId="204437D6" w14:textId="77777777" w:rsidR="00A716CA" w:rsidRDefault="00A716CA" w:rsidP="0023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PCIP+Verdana-Bold">
    <w:altName w:val="TIPCIP+Verdana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31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2E74C" w14:textId="46313713" w:rsidR="00DE53BE" w:rsidRDefault="00DE5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7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E2E90C" w14:textId="77777777" w:rsidR="00DE53BE" w:rsidRDefault="00DE5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B6E6C" w14:textId="77777777" w:rsidR="00A716CA" w:rsidRDefault="00A716CA" w:rsidP="00234383">
      <w:r>
        <w:separator/>
      </w:r>
    </w:p>
  </w:footnote>
  <w:footnote w:type="continuationSeparator" w:id="0">
    <w:p w14:paraId="6316F69C" w14:textId="77777777" w:rsidR="00A716CA" w:rsidRDefault="00A716CA" w:rsidP="00234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886"/>
      <w:gridCol w:w="1797"/>
      <w:gridCol w:w="4804"/>
    </w:tblGrid>
    <w:tr w:rsidR="00234383" w:rsidRPr="00234383" w14:paraId="60CF6873" w14:textId="77777777" w:rsidTr="004642CE">
      <w:trPr>
        <w:trHeight w:val="1280"/>
      </w:trPr>
      <w:tc>
        <w:tcPr>
          <w:tcW w:w="2886" w:type="dxa"/>
          <w:shd w:val="clear" w:color="auto" w:fill="auto"/>
          <w:vAlign w:val="bottom"/>
        </w:tcPr>
        <w:p w14:paraId="6854F2F0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  <w:r w:rsidRPr="00234383">
            <w:rPr>
              <w:rFonts w:eastAsia="MS Mincho"/>
              <w:b/>
              <w:i/>
              <w:noProof/>
              <w:color w:val="002060"/>
              <w:sz w:val="22"/>
              <w:szCs w:val="22"/>
            </w:rPr>
            <w:drawing>
              <wp:inline distT="0" distB="0" distL="0" distR="0" wp14:anchorId="081C2EB2" wp14:editId="3C380FFF">
                <wp:extent cx="838200" cy="285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F8DB53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 w:rsidRPr="00234383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Irving Burton Associates, Inc.</w:t>
          </w:r>
        </w:p>
      </w:tc>
      <w:tc>
        <w:tcPr>
          <w:tcW w:w="1797" w:type="dxa"/>
          <w:shd w:val="clear" w:color="auto" w:fill="auto"/>
        </w:tcPr>
        <w:p w14:paraId="6F02B579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</w:p>
      </w:tc>
      <w:tc>
        <w:tcPr>
          <w:tcW w:w="4804" w:type="dxa"/>
          <w:shd w:val="clear" w:color="auto" w:fill="auto"/>
          <w:vAlign w:val="bottom"/>
        </w:tcPr>
        <w:p w14:paraId="55F8D73F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Request for Quotation (RFQ) 4QTFHS150004</w:t>
          </w:r>
        </w:p>
        <w:p w14:paraId="46666221" w14:textId="0DBACBC9" w:rsidR="00234383" w:rsidRPr="00234383" w:rsidRDefault="006317FB" w:rsidP="00234383">
          <w:pPr>
            <w:tabs>
              <w:tab w:val="center" w:pos="4680"/>
              <w:tab w:val="right" w:pos="9360"/>
            </w:tabs>
            <w:spacing w:after="200" w:line="276" w:lineRule="auto"/>
            <w:jc w:val="right"/>
            <w:rPr>
              <w:rFonts w:ascii="Calibri" w:eastAsia="Calibri" w:hAnsi="Calibri"/>
              <w:b/>
              <w:i/>
              <w:color w:val="002060"/>
              <w:sz w:val="22"/>
              <w:szCs w:val="22"/>
            </w:rPr>
          </w:pPr>
          <w:r w:rsidRPr="006317FB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IBA_9_Tools List</w:t>
          </w:r>
        </w:p>
      </w:tc>
    </w:tr>
  </w:tbl>
  <w:p w14:paraId="0FE6E32A" w14:textId="77777777" w:rsidR="00234383" w:rsidRDefault="00234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A19"/>
    <w:multiLevelType w:val="hybridMultilevel"/>
    <w:tmpl w:val="3E04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441AA"/>
    <w:multiLevelType w:val="multilevel"/>
    <w:tmpl w:val="C166E4F4"/>
    <w:lvl w:ilvl="0">
      <w:start w:val="1"/>
      <w:numFmt w:val="decimal"/>
      <w:lvlText w:val="%1.0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F1E602B"/>
    <w:multiLevelType w:val="hybridMultilevel"/>
    <w:tmpl w:val="3192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D1B53"/>
    <w:multiLevelType w:val="hybridMultilevel"/>
    <w:tmpl w:val="DE0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81CDC"/>
    <w:multiLevelType w:val="hybridMultilevel"/>
    <w:tmpl w:val="CFA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B4CBA"/>
    <w:multiLevelType w:val="hybridMultilevel"/>
    <w:tmpl w:val="767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llivan, Shayne">
    <w15:presenceInfo w15:providerId="AD" w15:userId="S-1-5-21-53039831-2007527014-1019697294-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65"/>
    <w:rsid w:val="00031302"/>
    <w:rsid w:val="00057937"/>
    <w:rsid w:val="00072897"/>
    <w:rsid w:val="000B41EC"/>
    <w:rsid w:val="000E4AB5"/>
    <w:rsid w:val="00165471"/>
    <w:rsid w:val="00195AB2"/>
    <w:rsid w:val="001C22A1"/>
    <w:rsid w:val="001D7C6E"/>
    <w:rsid w:val="00200BF2"/>
    <w:rsid w:val="00234383"/>
    <w:rsid w:val="00236AF1"/>
    <w:rsid w:val="00237BCC"/>
    <w:rsid w:val="00245EEC"/>
    <w:rsid w:val="002D4C79"/>
    <w:rsid w:val="002E6949"/>
    <w:rsid w:val="00305A36"/>
    <w:rsid w:val="00305E87"/>
    <w:rsid w:val="0034267F"/>
    <w:rsid w:val="00393465"/>
    <w:rsid w:val="003A5A06"/>
    <w:rsid w:val="003D4503"/>
    <w:rsid w:val="00404D3A"/>
    <w:rsid w:val="004406CB"/>
    <w:rsid w:val="00444F05"/>
    <w:rsid w:val="00463FE5"/>
    <w:rsid w:val="00467D7B"/>
    <w:rsid w:val="004C72CE"/>
    <w:rsid w:val="00503481"/>
    <w:rsid w:val="00513CB7"/>
    <w:rsid w:val="0051791D"/>
    <w:rsid w:val="00540552"/>
    <w:rsid w:val="00547979"/>
    <w:rsid w:val="00551F5C"/>
    <w:rsid w:val="005B53C8"/>
    <w:rsid w:val="006317FB"/>
    <w:rsid w:val="006857F5"/>
    <w:rsid w:val="006E1D84"/>
    <w:rsid w:val="00712C5A"/>
    <w:rsid w:val="0071312C"/>
    <w:rsid w:val="0074355C"/>
    <w:rsid w:val="00765527"/>
    <w:rsid w:val="007805AB"/>
    <w:rsid w:val="007E02B8"/>
    <w:rsid w:val="00801B16"/>
    <w:rsid w:val="00810EF2"/>
    <w:rsid w:val="00824A83"/>
    <w:rsid w:val="00886510"/>
    <w:rsid w:val="008A5E00"/>
    <w:rsid w:val="008C608F"/>
    <w:rsid w:val="008E5A77"/>
    <w:rsid w:val="009503C5"/>
    <w:rsid w:val="00975010"/>
    <w:rsid w:val="009A3250"/>
    <w:rsid w:val="009A4F79"/>
    <w:rsid w:val="009D56B6"/>
    <w:rsid w:val="00A50390"/>
    <w:rsid w:val="00A62E59"/>
    <w:rsid w:val="00A716CA"/>
    <w:rsid w:val="00A7568D"/>
    <w:rsid w:val="00A82E0E"/>
    <w:rsid w:val="00A85B7F"/>
    <w:rsid w:val="00AB16AF"/>
    <w:rsid w:val="00AB6B65"/>
    <w:rsid w:val="00AE0CB2"/>
    <w:rsid w:val="00B01809"/>
    <w:rsid w:val="00B16055"/>
    <w:rsid w:val="00B41971"/>
    <w:rsid w:val="00B60B54"/>
    <w:rsid w:val="00B661B0"/>
    <w:rsid w:val="00BB09AC"/>
    <w:rsid w:val="00C91288"/>
    <w:rsid w:val="00CA06AC"/>
    <w:rsid w:val="00CE4362"/>
    <w:rsid w:val="00D07558"/>
    <w:rsid w:val="00D177E7"/>
    <w:rsid w:val="00D34195"/>
    <w:rsid w:val="00D5049B"/>
    <w:rsid w:val="00D60339"/>
    <w:rsid w:val="00D93D45"/>
    <w:rsid w:val="00D96BCB"/>
    <w:rsid w:val="00DD7E7A"/>
    <w:rsid w:val="00DE49CC"/>
    <w:rsid w:val="00DE53BE"/>
    <w:rsid w:val="00DE72F6"/>
    <w:rsid w:val="00E43BBA"/>
    <w:rsid w:val="00E6312B"/>
    <w:rsid w:val="00E73FD7"/>
    <w:rsid w:val="00E85BBC"/>
    <w:rsid w:val="00E90CB2"/>
    <w:rsid w:val="00ED6B58"/>
    <w:rsid w:val="00EF5024"/>
    <w:rsid w:val="00F20A0A"/>
    <w:rsid w:val="00F3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1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28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91288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1288"/>
    <w:rPr>
      <w:rFonts w:ascii="Calibri" w:eastAsiaTheme="minorHAnsi" w:hAnsi="Calibri" w:cstheme="minorBidi"/>
      <w:szCs w:val="21"/>
    </w:rPr>
  </w:style>
  <w:style w:type="table" w:styleId="TableGrid">
    <w:name w:val="Table Grid"/>
    <w:basedOn w:val="TableNormal"/>
    <w:uiPriority w:val="59"/>
    <w:rsid w:val="00C91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28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91288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1288"/>
    <w:rPr>
      <w:rFonts w:ascii="Calibri" w:eastAsiaTheme="minorHAnsi" w:hAnsi="Calibri" w:cstheme="minorBidi"/>
      <w:szCs w:val="21"/>
    </w:rPr>
  </w:style>
  <w:style w:type="table" w:styleId="TableGrid">
    <w:name w:val="Table Grid"/>
    <w:basedOn w:val="TableNormal"/>
    <w:uiPriority w:val="59"/>
    <w:rsid w:val="00C91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Davood</dc:creator>
  <cp:lastModifiedBy>Davood</cp:lastModifiedBy>
  <cp:revision>8</cp:revision>
  <dcterms:created xsi:type="dcterms:W3CDTF">2015-07-01T17:27:00Z</dcterms:created>
  <dcterms:modified xsi:type="dcterms:W3CDTF">2015-07-01T21:18:00Z</dcterms:modified>
</cp:coreProperties>
</file>