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80"/>
        <w:jc w:val="center"/>
      </w:pPr>
      <w:r>
        <w:rPr>
          <w:rFonts w:ascii="Arial" w:cs="Arial" w:eastAsia="Arial" w:hAnsi="Arial"/>
          <w:b/>
          <w:bCs/>
          <w:sz w:val="32"/>
          <w:szCs w:val="32"/>
          <w:rtl/>
        </w:rPr>
        <w:t xml:space="preserve">PROJECT360-R21 — تقرير أدلّة UAT متعدّد الأدوار على بيئة RC</w:t>
      </w:r>
    </w:p>
    <w:p>
      <w:pPr>
        <w:bidi/>
        <w:spacing w:after="240"/>
        <w:jc w:val="center"/>
      </w:pPr>
      <w:r>
        <w:rPr>
          <w:rFonts w:ascii="Arial" w:cs="Arial" w:eastAsia="Arial" w:hAnsi="Arial"/>
          <w:color w:val="555555"/>
          <w:sz w:val="20"/>
          <w:szCs w:val="20"/>
          <w:rtl/>
        </w:rPr>
        <w:t xml:space="preserve">بيئة RC حصرًا · rc-report.emarketingacademy.net · الإنتاج و origin/main لم يُمسّا</w:t>
      </w:r>
    </w:p>
    <w:p>
      <w:pPr>
        <w:pStyle w:val="Heading1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rtl/>
        </w:rPr>
        <w:t xml:space="preserve">١) خطّ الأساس المقيس على RC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•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SOURCE_SHA = 7e063b493b50ad90ba6131e47042c7cd035fb65b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•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بصمة publish التجميعيّة: 36d7f525dc0ee132a4490c08994479b0776e3e89430a7d125dcc0c56f7fc21b4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•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بصمة dist التجميعيّة: a47e07cf4328ced57075dd5af696908f29b1e880df397f6a6ac45fbf5d448b0b · index-DwS6KfdO.js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•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تطابق بايتيّ: بايتات dist المُقدَّمة في المتصفّح = بايتات dist المنشورة على الأصل الحقيقيّ.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•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الصحّة GET /health = 200 · الخدمة khubara-reporting-rc نشطة/تعمل · NRestarts=0.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•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الهجرات: 42 صفًّا · الرأس 20260817114129_AddProjectExecutionUpdateProposals · قاعدة reporting_rc (5432).</w:t>
      </w:r>
    </w:p>
    <w:p>
      <w:pPr>
        <w:pStyle w:val="Heading1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rtl/>
        </w:rPr>
        <w:t xml:space="preserve">٢) القيم المرجعيّة للتجهيزة (مشروع UAT-RC)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•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المخرَج A: 50% / InProgress (وزن 60) · المخرَج B: 25% / NotStarted (وزن 40).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•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تقدّم المشروع: 40.0% = المتوسّط الموزون (0.6×50 + 0.4×25).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•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مالك المشروع = rc-uat-owner · قائد الفريق = rc-uat-tl · مدير الحساب = rc-uat-am · الفريق المالك = «فريق UAT-RC أ».</w:t>
      </w:r>
    </w:p>
    <w:p>
      <w:pPr>
        <w:pStyle w:val="Heading1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rtl/>
        </w:rPr>
        <w:t xml:space="preserve">٣) خريطة الأدوار (12 حسابًا مخصَّصًا + مدير UAT مؤقّت)</w:t>
      </w:r>
    </w:p>
    <w:tbl>
      <w:tblPr>
        <w:bidiVisual/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400"/>
      </w:tblGrid>
      <w:tr>
        <w:trPr>
          <w:tblHeader/>
        </w:trPr>
        <w:tc>
          <w:tcPr>
            <w:tcW w:type="dxa" w:w="24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الدور</w:t>
            </w:r>
          </w:p>
        </w:tc>
        <w:tc>
          <w:tcPr>
            <w:tcW w:type="dxa" w:w="34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الحساب</w:t>
            </w:r>
          </w:p>
        </w:tc>
        <w:tc>
          <w:tcPr>
            <w:tcW w:type="dxa" w:w="34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البرهان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موظّف داخل النطاق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rc-uat-emp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عضو الفريق المالك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موظّف خارج النطاق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rc-uat-emp-out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فريق مختلف؛ ليس مالكًا/قائدًا/مدير حساب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قائد فريق المشروع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rc-uat-tl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TeamLeaderId؛ ومديره rc-uat-mgr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مالك المشروع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rc-uat-owner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ProjectOwnerId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مدير الحساب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rc-uat-am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AccountManagerId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الإدارة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rc-uat-mgr · rc-uat-gm · rc-uat-ceo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أدوار Manager/GM/CEO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أخرى (نطاق سلبيّ)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rc-uat-hr · finmgr · finemp · viewer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ليست أدوار Project360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مدير النظام المؤقّت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uat-rc-admin@rc.local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أُنشئ عبر Seed دون مساس بأيّ مدير حقيقيّ</w:t>
            </w:r>
          </w:p>
        </w:tc>
      </w:tr>
    </w:tbl>
    <w:p>
      <w:pPr>
        <w:pStyle w:val="Heading1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rtl/>
        </w:rPr>
        <w:t xml:space="preserve">٤) مصفوفة الصلاحيّات (مقيسة بالمورد عبر JWT كلّ دور)</w:t>
      </w:r>
    </w:p>
    <w:tbl>
      <w:tblPr>
        <w:bidiVisual/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1800"/>
        <w:gridCol w:w="1800"/>
      </w:tblGrid>
      <w:tr>
        <w:trPr>
          <w:tblHeader/>
        </w:trPr>
        <w:tc>
          <w:tcPr>
            <w:tcW w:type="dxa" w:w="24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الفاعل</w:t>
            </w:r>
          </w:p>
        </w:tc>
        <w:tc>
          <w:tcPr>
            <w:tcW w:type="dxa" w:w="3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الإجراء</w:t>
            </w:r>
          </w:p>
        </w:tc>
        <w:tc>
          <w:tcPr>
            <w:tcW w:type="dxa" w:w="18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الطريقة</w:t>
            </w:r>
          </w:p>
        </w:tc>
        <w:tc>
          <w:tcPr>
            <w:tcW w:type="dxa" w:w="18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النتيجة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emp داخل النطاق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رفع ادّعاء P1 / P2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POST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200 / 200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emp داخل النطاق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مراجعة ادّعائه (ممنوعة)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PATCH review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403 (سلبيّ مصمَّم)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موظّف خارج النطاق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قراءة المشروع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GET overview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404 (حماية بالمورد)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قائد الفريق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رفض P1 بسبب موثَّق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PATCH review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200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قائد الفريق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قبول P2 وتطبيقه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PATCH review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200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مالك المشروع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قراءة المشروع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GET overview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200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مدير الحساب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قراءة المشروع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GET overview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200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CEO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قراءة المشروع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GET overview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200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مطّلع (Viewer)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قراءة المشروع (خارج الدور)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GET overview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404</w:t>
            </w:r>
          </w:p>
        </w:tc>
      </w:tr>
    </w:tbl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تباين بنيويّ حقيقيّ: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قائد الفريق tlEditVisible=0 و tlArchiveVisible=0 · الإدارة mgrEditVisible=1 و gmEditVisible=1 (نفس الصفحة، حسابان مختلفان).</w:t>
      </w:r>
    </w:p>
    <w:p>
      <w:pPr>
        <w:pStyle w:val="Heading1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rtl/>
        </w:rPr>
        <w:t xml:space="preserve">٥) بوّابة المتصفّح/الشبكة (مقيسة لكلّ دور)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•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أخطاء كونسول حقيقيّة: 0 عبر الأدوار التسعة · طلبات فاشلة حقيقيّة: 0.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•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SignalR: PASS — كلّ استجابات negotiate = 200 لكلّ دور، وWebSocket متّصل.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•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4xx مقصودة موثَّقة: empOut 404×3 · viewer 404 · empIn 403 (مراجعة ذاتيّة ممنوعة) · mgr 403 على /api/reports/governance-summary.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•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ملاحظة UX طفيفة (غير حاجبة): تبويب «القرارات والحوكمة» يُعرَض للـManager بينما لوحة governance-summary مقصورة على GM/CEO ⟹ نداء خلفيّ 403 دون كسر العرض. حدّ RBAC صحيح؛ الأنسب لاحقًا إخفاء اللوحة للـManager.</w:t>
      </w:r>
    </w:p>
    <w:p>
      <w:pPr>
        <w:pStyle w:val="Heading1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rtl/>
        </w:rPr>
        <w:t xml:space="preserve">٦) التنظيف والتحقّق بعد الاختبار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•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استُعيدت القيم المرجعيّة: A=50/InProgress · B=25/NotStarted · تقدّم المشروع=40.0 (restored_ok=true).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•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السجلّات الملحقيّة محفوظة عمدًا (لا حذف — R2.1 §5): اقتراحات التنفيذ = 14 (نمَت من 12، لم تنقص) · audit_logs = 721.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•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الاثنا عشر حسابًا: IsActive=false + إعادة تعيين كلمة المرور لقيمة عشوائيّة غير محفوظة ⟹ تسجيل الدخول = 401 للجميع (allUat401=true).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•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المدير المؤقّت: أُعيد تعيين كلمة مروره لقيمة عشوائيّة غير محفوظة (الحذف/التعطيل الذاتيّ محجوبان بحرّاس الخدمة) ⟹ الدخول بكلمته السابقة = 401 (tempAdmin401=true).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•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التنظيف الأمنيّ: shred -u -z على الملفّات المؤقّتة الثلاثة (admin-pw · fixture-pw · rc-env.bak) — أُزيلت كلّها. الخدمة نشطة والصحّة 200.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•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الرمز المنكشف سابقًا على TEST (team.leader) انتهت صلاحيّته قبل هذا التقرير: exp = 2026-08-22T20:19:47Z &lt; الآن (تحقّق من رقم exp وحده دون إظهار الرمز).</w:t>
      </w:r>
    </w:p>
    <w:p>
      <w:pPr>
        <w:pStyle w:val="Heading1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rtl/>
        </w:rPr>
        <w:t xml:space="preserve">٧) الحكم — بوّابة UAT على RC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RC_UAT_CLOSED = YES · RC_UAT_ACCOUNTS_DISABLED = YES · APPEND_ONLY_PRESERVED = YES · PRODUCTION_TOUCHED = NO · ORIGIN_MAIN_TOUCHED = NO</w:t>
      </w:r>
    </w:p>
    <w:p>
      <w:r>
        <w:br w:type="page"/>
      </w:r>
    </w:p>
    <w:p>
      <w:pPr>
        <w:pStyle w:val="Heading1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rtl/>
        </w:rPr>
        <w:t xml:space="preserve">٨) الأدلّة المصوّرة (16 صورة — متصفّح حقيقيّ على بايتات dist المنشورة)</w:t>
      </w:r>
    </w:p>
    <w:p>
      <w:pPr>
        <w:spacing w:after="40" w:before="160"/>
        <w:jc w:val="center"/>
      </w:pPr>
      <w:r>
        <w:drawing>
          <wp:inline distT="0" distB="0" distL="0" distR="0">
            <wp:extent cx="5715000" cy="3971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160"/>
        <w:jc w:val="right"/>
      </w:pPr>
      <w:r>
        <w:rPr>
          <w:rFonts w:ascii="Arial" w:cs="Arial" w:eastAsia="Arial" w:hAnsi="Arial"/>
          <w:i/>
          <w:iCs/>
          <w:color w:val="555555"/>
          <w:sz w:val="18"/>
          <w:szCs w:val="18"/>
          <w:rtl/>
        </w:rPr>
        <w:t xml:space="preserve">fig-rc-001 — emp داخل النطاق — النظرة العامّة لمساحة المشروع 360 (تقدّم 40%).</w:t>
      </w:r>
    </w:p>
    <w:p>
      <w:pPr>
        <w:spacing w:after="40" w:before="160"/>
        <w:jc w:val="center"/>
      </w:pPr>
      <w:r>
        <w:drawing>
          <wp:inline distT="0" distB="0" distL="0" distR="0">
            <wp:extent cx="5715000" cy="3971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160"/>
        <w:jc w:val="right"/>
      </w:pPr>
      <w:r>
        <w:rPr>
          <w:rFonts w:ascii="Arial" w:cs="Arial" w:eastAsia="Arial" w:hAnsi="Arial"/>
          <w:i/>
          <w:iCs/>
          <w:color w:val="555555"/>
          <w:sz w:val="18"/>
          <w:szCs w:val="18"/>
          <w:rtl/>
        </w:rPr>
        <w:t xml:space="preserve">fig-rc-002 — emp داخل النطاق — تبويب «تحديثات التنفيذ» (يستطيع رفع ادّعاء تنفيذ).</w:t>
      </w:r>
    </w:p>
    <w:p>
      <w:pPr>
        <w:spacing w:after="40" w:before="160"/>
        <w:jc w:val="center"/>
      </w:pPr>
      <w:r>
        <w:drawing>
          <wp:inline distT="0" distB="0" distL="0" distR="0">
            <wp:extent cx="5715000" cy="3971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160"/>
        <w:jc w:val="right"/>
      </w:pPr>
      <w:r>
        <w:rPr>
          <w:rFonts w:ascii="Arial" w:cs="Arial" w:eastAsia="Arial" w:hAnsi="Arial"/>
          <w:i/>
          <w:iCs/>
          <w:color w:val="555555"/>
          <w:sz w:val="18"/>
          <w:szCs w:val="18"/>
          <w:rtl/>
        </w:rPr>
        <w:t xml:space="preserve">fig-rc-003 — موظّف خارج النطاق — «المشروع غير موجود أو خارج نطاق صلاحيّتك» (404 حماية بالمورد).</w:t>
      </w:r>
    </w:p>
    <w:p>
      <w:pPr>
        <w:spacing w:after="40" w:before="160"/>
        <w:jc w:val="center"/>
      </w:pPr>
      <w:r>
        <w:drawing>
          <wp:inline distT="0" distB="0" distL="0" distR="0">
            <wp:extent cx="5715000" cy="3971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160"/>
        <w:jc w:val="right"/>
      </w:pPr>
      <w:r>
        <w:rPr>
          <w:rFonts w:ascii="Arial" w:cs="Arial" w:eastAsia="Arial" w:hAnsi="Arial"/>
          <w:i/>
          <w:iCs/>
          <w:color w:val="555555"/>
          <w:sz w:val="18"/>
          <w:szCs w:val="18"/>
          <w:rtl/>
        </w:rPr>
        <w:t xml:space="preserve">fig-rc-004 — قائد الفريق — صفحة المشروع بلا زرَّي «تعديل/أرشفة المشروع» (منع بنيويّ).</w:t>
      </w:r>
    </w:p>
    <w:p>
      <w:pPr>
        <w:spacing w:after="40" w:before="160"/>
        <w:jc w:val="center"/>
      </w:pPr>
      <w:r>
        <w:drawing>
          <wp:inline distT="0" distB="0" distL="0" distR="0">
            <wp:extent cx="5715000" cy="3971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160"/>
        <w:jc w:val="right"/>
      </w:pPr>
      <w:r>
        <w:rPr>
          <w:rFonts w:ascii="Arial" w:cs="Arial" w:eastAsia="Arial" w:hAnsi="Arial"/>
          <w:i/>
          <w:iCs/>
          <w:color w:val="555555"/>
          <w:sz w:val="18"/>
          <w:szCs w:val="18"/>
          <w:rtl/>
        </w:rPr>
        <w:t xml:space="preserve">fig-rc-005 — قائد الفريق — قائمة اقتراحات التنفيذ المعلّقة قبل الحسم.</w:t>
      </w:r>
    </w:p>
    <w:p>
      <w:pPr>
        <w:spacing w:after="40" w:before="160"/>
        <w:jc w:val="center"/>
      </w:pPr>
      <w:r>
        <w:drawing>
          <wp:inline distT="0" distB="0" distL="0" distR="0">
            <wp:extent cx="5715000" cy="3971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160"/>
        <w:jc w:val="right"/>
      </w:pPr>
      <w:r>
        <w:rPr>
          <w:rFonts w:ascii="Arial" w:cs="Arial" w:eastAsia="Arial" w:hAnsi="Arial"/>
          <w:i/>
          <w:iCs/>
          <w:color w:val="555555"/>
          <w:sz w:val="18"/>
          <w:szCs w:val="18"/>
          <w:rtl/>
        </w:rPr>
        <w:t xml:space="preserve">fig-rc-006 — قائد الفريق — بعد الرفض: الاقتراح «مرفوض» بسبب معلن (لم تُطبَّق أيّ نسبة).</w:t>
      </w:r>
    </w:p>
    <w:p>
      <w:pPr>
        <w:spacing w:after="40" w:before="160"/>
        <w:jc w:val="center"/>
      </w:pPr>
      <w:r>
        <w:drawing>
          <wp:inline distT="0" distB="0" distL="0" distR="0">
            <wp:extent cx="5715000" cy="3971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160"/>
        <w:jc w:val="right"/>
      </w:pPr>
      <w:r>
        <w:rPr>
          <w:rFonts w:ascii="Arial" w:cs="Arial" w:eastAsia="Arial" w:hAnsi="Arial"/>
          <w:i/>
          <w:iCs/>
          <w:color w:val="555555"/>
          <w:sz w:val="18"/>
          <w:szCs w:val="18"/>
          <w:rtl/>
        </w:rPr>
        <w:t xml:space="preserve">fig-rc-007 — قائد الفريق — انتشار الأثر بعد القبول: إعادة احتساب تقدّم المشروع في النظرة العامّة.</w:t>
      </w:r>
    </w:p>
    <w:p>
      <w:pPr>
        <w:spacing w:after="40" w:before="160"/>
        <w:jc w:val="center"/>
      </w:pPr>
      <w:r>
        <w:drawing>
          <wp:inline distT="0" distB="0" distL="0" distR="0">
            <wp:extent cx="5715000" cy="3971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160"/>
        <w:jc w:val="right"/>
      </w:pPr>
      <w:r>
        <w:rPr>
          <w:rFonts w:ascii="Arial" w:cs="Arial" w:eastAsia="Arial" w:hAnsi="Arial"/>
          <w:i/>
          <w:iCs/>
          <w:color w:val="555555"/>
          <w:sz w:val="18"/>
          <w:szCs w:val="18"/>
          <w:rtl/>
        </w:rPr>
        <w:t xml:space="preserve">fig-rc-015 — قائد الفريق — تبويب «المؤشّرات والقراءات» (KPI مع قراءة).</w:t>
      </w:r>
    </w:p>
    <w:p>
      <w:pPr>
        <w:spacing w:after="40" w:before="160"/>
        <w:jc w:val="center"/>
      </w:pPr>
      <w:r>
        <w:drawing>
          <wp:inline distT="0" distB="0" distL="0" distR="0">
            <wp:extent cx="5715000" cy="3971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160"/>
        <w:jc w:val="right"/>
      </w:pPr>
      <w:r>
        <w:rPr>
          <w:rFonts w:ascii="Arial" w:cs="Arial" w:eastAsia="Arial" w:hAnsi="Arial"/>
          <w:i/>
          <w:iCs/>
          <w:color w:val="555555"/>
          <w:sz w:val="18"/>
          <w:szCs w:val="18"/>
          <w:rtl/>
        </w:rPr>
        <w:t xml:space="preserve">fig-rc-008 — مالك المشروع — داخل النطاق مع أدوات التشغيل (النظرة العامّة).</w:t>
      </w:r>
    </w:p>
    <w:p>
      <w:pPr>
        <w:spacing w:after="40" w:before="160"/>
        <w:jc w:val="center"/>
      </w:pPr>
      <w:r>
        <w:drawing>
          <wp:inline distT="0" distB="0" distL="0" distR="0">
            <wp:extent cx="5715000" cy="3971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160"/>
        <w:jc w:val="right"/>
      </w:pPr>
      <w:r>
        <w:rPr>
          <w:rFonts w:ascii="Arial" w:cs="Arial" w:eastAsia="Arial" w:hAnsi="Arial"/>
          <w:i/>
          <w:iCs/>
          <w:color w:val="555555"/>
          <w:sz w:val="18"/>
          <w:szCs w:val="18"/>
          <w:rtl/>
        </w:rPr>
        <w:t xml:space="preserve">fig-rc-016 — مالك المشروع — صفحة المشروع البنيويّة (تيّارات العمل/المخرَجات).</w:t>
      </w:r>
    </w:p>
    <w:p>
      <w:pPr>
        <w:spacing w:after="40" w:before="160"/>
        <w:jc w:val="center"/>
      </w:pPr>
      <w:r>
        <w:drawing>
          <wp:inline distT="0" distB="0" distL="0" distR="0">
            <wp:extent cx="5715000" cy="3971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160"/>
        <w:jc w:val="right"/>
      </w:pPr>
      <w:r>
        <w:rPr>
          <w:rFonts w:ascii="Arial" w:cs="Arial" w:eastAsia="Arial" w:hAnsi="Arial"/>
          <w:i/>
          <w:iCs/>
          <w:color w:val="555555"/>
          <w:sz w:val="18"/>
          <w:szCs w:val="18"/>
          <w:rtl/>
        </w:rPr>
        <w:t xml:space="preserve">fig-rc-009 — مدير الحساب — داخل النطاق (النظرة العامّة للمشروع).</w:t>
      </w:r>
    </w:p>
    <w:p>
      <w:pPr>
        <w:spacing w:after="40" w:before="160"/>
        <w:jc w:val="center"/>
      </w:pPr>
      <w:r>
        <w:drawing>
          <wp:inline distT="0" distB="0" distL="0" distR="0">
            <wp:extent cx="5715000" cy="3971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160"/>
        <w:jc w:val="right"/>
      </w:pPr>
      <w:r>
        <w:rPr>
          <w:rFonts w:ascii="Arial" w:cs="Arial" w:eastAsia="Arial" w:hAnsi="Arial"/>
          <w:i/>
          <w:iCs/>
          <w:color w:val="555555"/>
          <w:sz w:val="18"/>
          <w:szCs w:val="18"/>
          <w:rtl/>
        </w:rPr>
        <w:t xml:space="preserve">fig-rc-014 — مدير الحساب — ملفّ العميل الشامل (Client 360) مع انتشار المشروع.</w:t>
      </w:r>
    </w:p>
    <w:p>
      <w:pPr>
        <w:spacing w:after="40" w:before="160"/>
        <w:jc w:val="center"/>
      </w:pPr>
      <w:r>
        <w:drawing>
          <wp:inline distT="0" distB="0" distL="0" distR="0">
            <wp:extent cx="5715000" cy="3971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160"/>
        <w:jc w:val="right"/>
      </w:pPr>
      <w:r>
        <w:rPr>
          <w:rFonts w:ascii="Arial" w:cs="Arial" w:eastAsia="Arial" w:hAnsi="Arial"/>
          <w:i/>
          <w:iCs/>
          <w:color w:val="555555"/>
          <w:sz w:val="18"/>
          <w:szCs w:val="18"/>
          <w:rtl/>
        </w:rPr>
        <w:t xml:space="preserve">fig-rc-010 — الإدارة (Manager) — صفحة المشروع تُظهر أزرار «تعديل/أرشفة» البنيويّة (تباين مقابل قائد الفريق).</w:t>
      </w:r>
    </w:p>
    <w:p>
      <w:pPr>
        <w:spacing w:after="40" w:before="160"/>
        <w:jc w:val="center"/>
      </w:pPr>
      <w:r>
        <w:drawing>
          <wp:inline distT="0" distB="0" distL="0" distR="0">
            <wp:extent cx="5715000" cy="3971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160"/>
        <w:jc w:val="right"/>
      </w:pPr>
      <w:r>
        <w:rPr>
          <w:rFonts w:ascii="Arial" w:cs="Arial" w:eastAsia="Arial" w:hAnsi="Arial"/>
          <w:i/>
          <w:iCs/>
          <w:color w:val="555555"/>
          <w:sz w:val="18"/>
          <w:szCs w:val="18"/>
          <w:rtl/>
        </w:rPr>
        <w:t xml:space="preserve">fig-rc-011 — الإدارة (Manager) — تبويب «القرارات والحوكمة».</w:t>
      </w:r>
    </w:p>
    <w:p>
      <w:pPr>
        <w:spacing w:after="40" w:before="160"/>
        <w:jc w:val="center"/>
      </w:pPr>
      <w:r>
        <w:drawing>
          <wp:inline distT="0" distB="0" distL="0" distR="0">
            <wp:extent cx="5715000" cy="3971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160"/>
        <w:jc w:val="right"/>
      </w:pPr>
      <w:r>
        <w:rPr>
          <w:rFonts w:ascii="Arial" w:cs="Arial" w:eastAsia="Arial" w:hAnsi="Arial"/>
          <w:i/>
          <w:iCs/>
          <w:color w:val="555555"/>
          <w:sz w:val="18"/>
          <w:szCs w:val="18"/>
          <w:rtl/>
        </w:rPr>
        <w:t xml:space="preserve">fig-rc-012 — الإدارة (GM) — صفحة المشروع تُظهر الأزرار البنيويّة.</w:t>
      </w:r>
    </w:p>
    <w:p>
      <w:pPr>
        <w:spacing w:after="40" w:before="160"/>
        <w:jc w:val="center"/>
      </w:pPr>
      <w:r>
        <w:drawing>
          <wp:inline distT="0" distB="0" distL="0" distR="0">
            <wp:extent cx="5715000" cy="3971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160"/>
        <w:jc w:val="right"/>
      </w:pPr>
      <w:r>
        <w:rPr>
          <w:rFonts w:ascii="Arial" w:cs="Arial" w:eastAsia="Arial" w:hAnsi="Arial"/>
          <w:i/>
          <w:iCs/>
          <w:color w:val="555555"/>
          <w:sz w:val="18"/>
          <w:szCs w:val="18"/>
          <w:rtl/>
        </w:rPr>
        <w:t xml:space="preserve">fig-rc-013 — الإدارة (GM) — تبويب «القرارات والحوكمة».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477acab53a5a1875d058003632e5f99ee5ab5d2.png"/><Relationship Id="rId8" Type="http://schemas.openxmlformats.org/officeDocument/2006/relationships/image" Target="media/9304decc126f5e6a10a4f758d4aa44f0a0b44020.png"/><Relationship Id="rId9" Type="http://schemas.openxmlformats.org/officeDocument/2006/relationships/image" Target="media/8278fe8df321349b045c7abd49912d18db7246b0.png"/><Relationship Id="rId10" Type="http://schemas.openxmlformats.org/officeDocument/2006/relationships/image" Target="media/f1eb1693a2bf7c1ae4e37b9e07c33c4ca58407e8.png"/><Relationship Id="rId11" Type="http://schemas.openxmlformats.org/officeDocument/2006/relationships/image" Target="media/c9fdd5e08a10a4fa6b0d55ecd3a32883cb46e658.png"/><Relationship Id="rId12" Type="http://schemas.openxmlformats.org/officeDocument/2006/relationships/image" Target="media/ed07cb557461b2c3ab2a6005b45ade150e480cd1.png"/><Relationship Id="rId13" Type="http://schemas.openxmlformats.org/officeDocument/2006/relationships/image" Target="media/f6ec2a47bb39855097e03d810b00eae45e5c5f7a.png"/><Relationship Id="rId14" Type="http://schemas.openxmlformats.org/officeDocument/2006/relationships/image" Target="media/9df0e51b8ccb8a70e3657e02db8ff1139f77ac9b.png"/><Relationship Id="rId15" Type="http://schemas.openxmlformats.org/officeDocument/2006/relationships/image" Target="media/9434a194dcc37c59f9b61162c9ddfc953710e6d9.png"/><Relationship Id="rId16" Type="http://schemas.openxmlformats.org/officeDocument/2006/relationships/image" Target="media/66134e61350ab3cc7b8f97d4cbf5490cde8ad9c4.png"/><Relationship Id="rId17" Type="http://schemas.openxmlformats.org/officeDocument/2006/relationships/image" Target="media/17f6f470e3442f81a9f45d9bae8cb252ffa41ce9.png"/><Relationship Id="rId18" Type="http://schemas.openxmlformats.org/officeDocument/2006/relationships/image" Target="media/fa3a729e653b97ce36a1ac7cfd72b28e222c6813.png"/><Relationship Id="rId19" Type="http://schemas.openxmlformats.org/officeDocument/2006/relationships/image" Target="media/84003062ff38c77021639954bcdd709c8fe47082.png"/><Relationship Id="rId20" Type="http://schemas.openxmlformats.org/officeDocument/2006/relationships/image" Target="media/8c25acc4bc7ae0849a216b9c67b67fc9651abe78.png"/><Relationship Id="rId21" Type="http://schemas.openxmlformats.org/officeDocument/2006/relationships/image" Target="media/f148f0f3ec34eeff97ba38c67106d026eaee74cb.pn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PROJECT360-R21 RC UAT Evidence</dc:title>
  <dc:creator>Marketing Experts Reporting System</dc:creator>
  <dc:description>RC multi-role UAT evidence</dc:description>
  <cp:lastModifiedBy>Un-named</cp:lastModifiedBy>
  <cp:revision>1</cp:revision>
  <dcterms:created xsi:type="dcterms:W3CDTF">2026-08-22T21:17:37.362Z</dcterms:created>
  <dcterms:modified xsi:type="dcterms:W3CDTF">2026-08-22T21:17:37.363Z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