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F3864"/>
          <w:sz w:val="26"/>
          <w:szCs w:val="26"/>
          <w:rtl/>
        </w:rPr>
        <w:t xml:space="preserve">نظام تقارير الأداء والتشغيل — خبراء التسويق</w:t>
      </w:r>
    </w:p>
    <w:p>
      <w:pPr>
        <w:spacing w:after="120"/>
        <w:jc w:val="center"/>
      </w:pPr>
      <w:r>
        <w:rPr>
          <w:rFonts w:ascii="Arial" w:cs="Arial" w:eastAsia="Arial" w:hAnsi="Arial"/>
          <w:b/>
          <w:bCs/>
          <w:sz w:val="34"/>
          <w:szCs w:val="34"/>
          <w:rtl/>
        </w:rPr>
        <w:t xml:space="preserve">تقرير جاهزيّة الإنتاج — Project 360 R2.1</w:t>
      </w:r>
    </w:p>
    <w:p>
      <w:pPr>
        <w:spacing w:after="500"/>
        <w:jc w:val="center"/>
      </w:pPr>
      <w:r>
        <w:rPr>
          <w:rFonts w:ascii="Arial" w:cs="Arial" w:eastAsia="Arial" w:hAnsi="Arial"/>
          <w:color w:val="555555"/>
          <w:sz w:val="22"/>
          <w:szCs w:val="22"/>
          <w:rtl/>
        </w:rPr>
        <w:t xml:space="preserve">قرار جاهزيّة — ليس تصريح نشر</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6700"/>
      </w:tblGrid>
      <w:tr>
        <w:trPr>
          <w:tblHeader/>
        </w:trPr>
        <w:tc>
          <w:tcPr>
            <w:tcW w:type="dxa" w:w="34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البند</w:t>
            </w:r>
          </w:p>
        </w:tc>
        <w:tc>
          <w:tcPr>
            <w:tcW w:type="dxa" w:w="67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القيمة</w:t>
            </w:r>
          </w:p>
        </w:tc>
      </w:tr>
      <w:tr>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التذكرة</w:t>
            </w:r>
          </w:p>
        </w:tc>
        <w:tc>
          <w:tcPr>
            <w:tcW w:type="dxa" w:w="67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PROJECT360-R21-PRODUCTION-READINESS-AND-ISOLATED-REHEARSAL</w:t>
            </w:r>
          </w:p>
        </w:tc>
      </w:tr>
      <w:tr>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التاريخ</w:t>
            </w:r>
          </w:p>
        </w:tc>
        <w:tc>
          <w:tcPr>
            <w:tcW w:type="dxa" w:w="67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23 أغسطس 2026</w:t>
            </w:r>
          </w:p>
        </w:tc>
      </w:tr>
      <w:tr>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PRODUCT_SOURCE_SHA</w:t>
            </w:r>
          </w:p>
        </w:tc>
        <w:tc>
          <w:tcPr>
            <w:tcW w:type="dxa" w:w="67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7e063b493b50ad90ba6131e47042c7cd035fb65b</w:t>
            </w:r>
          </w:p>
        </w:tc>
      </w:tr>
      <w:tr>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DOCUMENTATION_HEAD</w:t>
            </w:r>
          </w:p>
        </w:tc>
        <w:tc>
          <w:tcPr>
            <w:tcW w:type="dxa" w:w="67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d3d2e62 (origin/develop)</w:t>
            </w:r>
          </w:p>
        </w:tc>
      </w:tr>
      <w:tr>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PRODUCTION_CURRENT_SHA</w:t>
            </w:r>
          </w:p>
        </w:tc>
        <w:tc>
          <w:tcPr>
            <w:tcW w:type="dxa" w:w="67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ce166662</w:t>
            </w:r>
          </w:p>
        </w:tc>
      </w:tr>
      <w:tr>
        <w:tc>
          <w:tcPr>
            <w:tcW w:type="dxa" w:w="34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القرار</w:t>
            </w:r>
          </w:p>
        </w:tc>
        <w:tc>
          <w:tcPr>
            <w:tcW w:type="dxa" w:w="67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CONDITIONAL_GO · PRODUCTION_DEPLOY_AUTHORIZED = NO</w:t>
            </w:r>
          </w:p>
        </w:tc>
      </w:tr>
    </w:tbl>
    <w:p>
      <w:r>
        <w:br w:type="page"/>
      </w:r>
    </w:p>
    <w:p>
      <w:pPr>
        <w:pStyle w:val="Heading1"/>
        <w:bidi/>
        <w:spacing w:after="120" w:before="260"/>
        <w:jc w:val="right"/>
      </w:pPr>
      <w:r>
        <w:rPr>
          <w:rFonts w:ascii="Arial" w:cs="Arial" w:eastAsia="Arial" w:hAnsi="Arial"/>
          <w:b/>
          <w:bCs/>
          <w:rtl/>
        </w:rPr>
        <w:t xml:space="preserve">0) خطّ الأساس المرجعيّ (يُفصَل بوضوح)</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200"/>
        <w:gridCol w:w="4900"/>
      </w:tblGrid>
      <w:tr>
        <w:trPr>
          <w:tblHeader/>
        </w:trPr>
        <w:tc>
          <w:tcPr>
            <w:tcW w:type="dxa" w:w="52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المقدار</w:t>
            </w:r>
          </w:p>
        </w:tc>
        <w:tc>
          <w:tcPr>
            <w:tcW w:type="dxa" w:w="49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القيمة</w:t>
            </w:r>
          </w:p>
        </w:tc>
      </w:tr>
      <w:tr>
        <w:tc>
          <w:tcPr>
            <w:tcW w:type="dxa" w:w="5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PRODUCT_SOURCE_SHA (مصدر المرشّح)</w:t>
            </w:r>
          </w:p>
        </w:tc>
        <w:tc>
          <w:tcPr>
            <w:tcW w:type="dxa" w:w="4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7e063b493b50ad90ba6131e47042c7cd035fb65b</w:t>
            </w:r>
          </w:p>
        </w:tc>
      </w:tr>
      <w:tr>
        <w:tc>
          <w:tcPr>
            <w:tcW w:type="dxa" w:w="5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DOCUMENTATION_HEAD (رأس التوثيق)</w:t>
            </w:r>
          </w:p>
        </w:tc>
        <w:tc>
          <w:tcPr>
            <w:tcW w:type="dxa" w:w="4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d3d2e62</w:t>
            </w:r>
          </w:p>
        </w:tc>
      </w:tr>
      <w:tr>
        <w:tc>
          <w:tcPr>
            <w:tcW w:type="dxa" w:w="5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PRODUCTION_CURRENT_SHA (المنشور حاليًّا)</w:t>
            </w:r>
          </w:p>
        </w:tc>
        <w:tc>
          <w:tcPr>
            <w:tcW w:type="dxa" w:w="49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ce166662</w:t>
            </w:r>
          </w:p>
        </w:tc>
      </w:tr>
    </w:tbl>
    <w:p>
      <w:pPr>
        <w:bidi/>
        <w:spacing w:after="120" w:before="0"/>
        <w:jc w:val="right"/>
      </w:pPr>
      <w:r>
        <w:rPr>
          <w:rFonts w:ascii="Arial" w:cs="Arial" w:eastAsia="Arial" w:hAnsi="Arial"/>
          <w:b w:val="false"/>
          <w:bCs w:val="false"/>
          <w:i w:val="false"/>
          <w:iCs w:val="false"/>
          <w:sz w:val="22"/>
          <w:szCs w:val="22"/>
          <w:rtl/>
        </w:rPr>
        <w:t xml:space="preserve">الثلاثة كيانات مختلفة عمدًا: المرشّح المبنيّ غير المنشور، ورأس التوثيق الأحدث، والإنتاج الحيّ الثابت.</w:t>
      </w:r>
    </w:p>
    <w:p>
      <w:pPr>
        <w:pStyle w:val="Heading1"/>
        <w:bidi/>
        <w:spacing w:after="120" w:before="260"/>
        <w:jc w:val="right"/>
      </w:pPr>
      <w:r>
        <w:rPr>
          <w:rFonts w:ascii="Arial" w:cs="Arial" w:eastAsia="Arial" w:hAnsi="Arial"/>
          <w:b/>
          <w:bCs/>
          <w:rtl/>
        </w:rPr>
        <w:t xml:space="preserve">1) نطاق العمل والحوكمة</w:t>
      </w:r>
    </w:p>
    <w:p>
      <w:pPr>
        <w:bidi/>
        <w:spacing w:after="120" w:before="0"/>
        <w:jc w:val="right"/>
      </w:pPr>
      <w:r>
        <w:rPr>
          <w:rFonts w:ascii="Arial" w:cs="Arial" w:eastAsia="Arial" w:hAnsi="Arial"/>
          <w:b w:val="false"/>
          <w:bCs w:val="false"/>
          <w:i w:val="false"/>
          <w:iCs w:val="false"/>
          <w:sz w:val="22"/>
          <w:szCs w:val="22"/>
          <w:rtl/>
        </w:rPr>
        <w:t xml:space="preserve">نُفِّذت التذكرة كاملةً على نُسخ معزولة فقط: نسخة احتياطيّة بصلاحيّات مقيّدة، ودليل Staging غير مُشار إليه من الخدمة/nginx، وقاعدة مستنسخة مؤقّتة من نسخة الإنتاج الاحتياطيّة، وتطبيق معزول على منفذ محلّيّ غير مستعمَل (5099). لم يُمَسّ الإنتاج الحيّ إطلاقًا (لا حزمة، لا قاعدة، لا هجرة، لا إعداد، لا nginx، لا إعادة تشغيل، لا أدوار، لا صلاحيّات)، وorigin/main لم يتحرّك.</w:t>
      </w:r>
    </w:p>
    <w:p>
      <w:pPr>
        <w:pStyle w:val="Heading1"/>
        <w:bidi/>
        <w:spacing w:after="120" w:before="260"/>
        <w:jc w:val="right"/>
      </w:pPr>
      <w:r>
        <w:rPr>
          <w:rFonts w:ascii="Arial" w:cs="Arial" w:eastAsia="Arial" w:hAnsi="Arial"/>
          <w:b/>
          <w:bCs/>
          <w:rtl/>
        </w:rPr>
        <w:t xml:space="preserve">2) بناء مرشّح الإنتاج — PRODUCTION_CANDIDATE_BUILT = YES</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الخلفيّة: أُعيد استعمال قطعة RC المختبَرة مطابقة بايتًا (أصل الـAPI إعداد تشغيليّ في /etc/reporting-api.env لا مخبوز في الـDLL). بصمة الشجرة 36d7f525… (86 ملفًّا).</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الواجهة: أُعيد بناؤها من 7e063b4 بعنوان الإنتاج https://reports.emarketingacademy.net/api. بصمة 165bdd1a… (7 ملفّات، 0 خرائط مصدر). دليل الحتميّة: الـCSS مطابق بايتًا لبناء RC، والفارق الوحيد في الـJS سلسلة أصل الـAPI.</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CANDIDATE_BACKEND_SHA256 = 36d7f525dc0ee132a4490c08994479b0776e3e89430a7d125dcc0c56f7fc21b4</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CANDIDATE_FRONTEND_SHA256 = 165bdd1a05bc42105315d1c20ff0c73bc3b5e6ace6cd4775ef5288685e591a97</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أصول مخبوزة: إنتاج ×1، localhost/127/test/rc ×0. مسح أسرار الحزمة: لا أسرار في Staging.</w:t>
      </w:r>
    </w:p>
    <w:p>
      <w:pPr>
        <w:pStyle w:val="Heading1"/>
        <w:bidi/>
        <w:spacing w:after="120" w:before="260"/>
        <w:jc w:val="right"/>
      </w:pPr>
      <w:r>
        <w:rPr>
          <w:rFonts w:ascii="Arial" w:cs="Arial" w:eastAsia="Arial" w:hAnsi="Arial"/>
          <w:b/>
          <w:bCs/>
          <w:rtl/>
        </w:rPr>
        <w:t xml:space="preserve">3) النسخ الاحتياطيّ والاستعادة — PROD_BACKUP = PASS · PROD_RESTORE_VERIFIED = YES</w:t>
      </w:r>
    </w:p>
    <w:p>
      <w:pPr>
        <w:bidi/>
        <w:spacing w:after="120" w:before="0"/>
        <w:jc w:val="right"/>
      </w:pPr>
      <w:r>
        <w:rPr>
          <w:rFonts w:ascii="Arial" w:cs="Arial" w:eastAsia="Arial" w:hAnsi="Arial"/>
          <w:b w:val="false"/>
          <w:bCs w:val="false"/>
          <w:i w:val="false"/>
          <w:iCs w:val="false"/>
          <w:sz w:val="22"/>
          <w:szCs w:val="22"/>
          <w:rtl/>
        </w:rPr>
        <w:t xml:space="preserve">نسخة كاملة في /opt/backups/prod-readiness-20260823T113453Z-r21 (0700): dump مزدوج (Fc+Fp)، والحِزم (publish/dist/env/service/nginx/DataProtection)، وSHA256SUMS. تحقّق الاستعادة على نسخة مستنسخة معزولة (لا فوق أيّ قاعدة حيّة): 30=30 هجرة، 57=57 جدولًا، 637=637 عمودًا، audit_logs 1401=1401، بصمة البنية مطابقة. لا نسخة سابقة حُذفت، ولا سرّ طُبع.</w:t>
      </w:r>
    </w:p>
    <w:p>
      <w:pPr>
        <w:pStyle w:val="Heading1"/>
        <w:bidi/>
        <w:spacing w:after="120" w:before="260"/>
        <w:jc w:val="right"/>
      </w:pPr>
      <w:r>
        <w:rPr>
          <w:rFonts w:ascii="Arial" w:cs="Arial" w:eastAsia="Arial" w:hAnsi="Arial"/>
          <w:b/>
          <w:bCs/>
          <w:rtl/>
        </w:rPr>
        <w:t xml:space="preserve">4) نَسَب الهجرات — MIGRATION_LINEAGE = NOT_CLEAN (جسر مطلوب، ومُثبَت)</w:t>
      </w:r>
    </w:p>
    <w:p>
      <w:pPr>
        <w:bidi/>
        <w:spacing w:after="120" w:before="0"/>
        <w:jc w:val="right"/>
      </w:pPr>
      <w:r>
        <w:rPr>
          <w:rFonts w:ascii="Arial" w:cs="Arial" w:eastAsia="Arial" w:hAnsi="Arial"/>
          <w:b w:val="false"/>
          <w:bCs w:val="false"/>
          <w:i w:val="false"/>
          <w:iCs w:val="false"/>
          <w:sz w:val="22"/>
          <w:szCs w:val="22"/>
          <w:rtl/>
        </w:rPr>
        <w:t xml:space="preserve">نَسَب متشعّب: هجرتان منطقيّتان بمعرّفَين مختلفَين على نَسَب الإنتاج مقابل نَسَب المرشّح ⟹ نشر ساذج يُعيد تشغيل Up() على جدولَين موجودَين ⟹ 42P07. العلاج جسر يعلّم صفّي المرشّح «مطبَّقَين» بلا Up(). الحالة: PROD=30 · RC=42 · ملفّات المرشّح=40.</w:t>
      </w:r>
    </w:p>
    <w:p>
      <w:pPr>
        <w:pStyle w:val="Heading1"/>
        <w:bidi/>
        <w:spacing w:after="120" w:before="260"/>
        <w:jc w:val="right"/>
      </w:pPr>
      <w:r>
        <w:rPr>
          <w:rFonts w:ascii="Arial" w:cs="Arial" w:eastAsia="Arial" w:hAnsi="Arial"/>
          <w:b/>
          <w:bCs/>
          <w:rtl/>
        </w:rPr>
        <w:t xml:space="preserve">5) التجربة المعزولة — ISOLATED_MIGRATION_REHEARSAL = PASS · ISOLATED_HEALTH = 200</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مسار الهجرات: 30 ⟵ (+2 جسر) ⟵ 32 ⟵ (+10 حقيقيّة) ⟵ 42، الرأس AddProjectExecutionUpdateProposals، صفر 42P07.</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صفر فقدان بيانات: audit_logs 1401 · AspNetUsers 34 · projects 34 · clients 11 — مطابقة لأساس الإنتاج.</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إعادة تشغيل: 0 «Applying migration»، صحّة 200، التاريخ يبقى 42. البنية 79 جدولًا · 947 عمودًا (يطابق RC).</w:t>
      </w:r>
    </w:p>
    <w:p>
      <w:pPr>
        <w:pStyle w:val="Heading1"/>
        <w:bidi/>
        <w:spacing w:after="120" w:before="260"/>
        <w:jc w:val="right"/>
      </w:pPr>
      <w:r>
        <w:rPr>
          <w:rFonts w:ascii="Arial" w:cs="Arial" w:eastAsia="Arial" w:hAnsi="Arial"/>
          <w:b/>
          <w:bCs/>
          <w:rtl/>
        </w:rPr>
        <w:t xml:space="preserve">6) تخزين المستندات و PROD-READINESS-01</w:t>
      </w:r>
    </w:p>
    <w:p>
      <w:pPr>
        <w:bidi/>
        <w:spacing w:after="120" w:before="0"/>
        <w:jc w:val="right"/>
      </w:pPr>
      <w:r>
        <w:rPr>
          <w:rFonts w:ascii="Arial" w:cs="Arial" w:eastAsia="Arial" w:hAnsi="Arial"/>
          <w:b w:val="false"/>
          <w:bCs w:val="false"/>
          <w:i w:val="false"/>
          <w:iCs w:val="false"/>
          <w:sz w:val="22"/>
          <w:szCs w:val="22"/>
          <w:rtl/>
        </w:rPr>
        <w:t xml:space="preserve">الإنتاج بلا FileStorage__DocumentsRootPath ⟹ الجذر يسقط داخل publish المستبدَل في كلّ نشر = فقدان صامت. أُثبِت الإغلاق على النسخة المعزولة: دورة حياة كاملة (رفع/بيانات/تنزيل/إصدار v2/أرشفة/استرجاع، بصمات مطابقة)، والـblobs خارج publish نجت من استبدال الحزمة (REDEPLOY_NO_LOSS = YES). العلاج إعداد فقط: إضافة FileStorage__DocumentsRootPath=/var/lib/reporting/documents إلى /etc/reporting-api.env.</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PROD_READINESS_01 = PROVEN CLOSED على النسخة المعزولة — لم يُطبَّق على الإنتاج ⟹ حاجز إعداد مفتوح يُغلَق عند التنفيذ.</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DOCUMENT_STORAGE_REHEARSAL = PASS.</w:t>
      </w:r>
    </w:p>
    <w:p>
      <w:pPr>
        <w:pStyle w:val="Heading1"/>
        <w:bidi/>
        <w:spacing w:after="120" w:before="260"/>
        <w:jc w:val="right"/>
      </w:pPr>
      <w:r>
        <w:rPr>
          <w:rFonts w:ascii="Arial" w:cs="Arial" w:eastAsia="Arial" w:hAnsi="Arial"/>
          <w:b/>
          <w:bCs/>
          <w:rtl/>
        </w:rPr>
        <w:t xml:space="preserve">7) بوّابات البناء والاختبار (رموز خروج حقيقيّة) — PASS</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gridCol w:w="1300"/>
      </w:tblGrid>
      <w:tr>
        <w:trPr>
          <w:tblHeader/>
        </w:trPr>
        <w:tc>
          <w:tcPr>
            <w:tcW w:type="dxa" w:w="56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البوّابة</w:t>
            </w:r>
          </w:p>
        </w:tc>
        <w:tc>
          <w:tcPr>
            <w:tcW w:type="dxa" w:w="32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النتيجة</w:t>
            </w:r>
          </w:p>
        </w:tc>
        <w:tc>
          <w:tcPr>
            <w:tcW w:type="dxa" w:w="13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رمز الخروج</w:t>
            </w:r>
          </w:p>
        </w:tc>
      </w:tr>
      <w:tr>
        <w:tc>
          <w:tcPr>
            <w:tcW w:type="dxa" w:w="5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بناء الخلفيّة (Release)</w:t>
            </w:r>
          </w:p>
        </w:tc>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 خطأ، 4 تحذيرات</w:t>
            </w:r>
          </w:p>
        </w:tc>
        <w:tc>
          <w:tcPr>
            <w:tcW w:type="dxa" w:w="1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w:t>
            </w:r>
          </w:p>
        </w:tc>
      </w:tr>
      <w:tr>
        <w:tc>
          <w:tcPr>
            <w:tcW w:type="dxa" w:w="5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اختبارات الوحدة</w:t>
            </w:r>
          </w:p>
        </w:tc>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359/359</w:t>
            </w:r>
          </w:p>
        </w:tc>
        <w:tc>
          <w:tcPr>
            <w:tcW w:type="dxa" w:w="1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w:t>
            </w:r>
          </w:p>
        </w:tc>
      </w:tr>
      <w:tr>
        <w:tc>
          <w:tcPr>
            <w:tcW w:type="dxa" w:w="5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التكامل (متسلسل، موثوق)</w:t>
            </w:r>
          </w:p>
        </w:tc>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2011/2011</w:t>
            </w:r>
          </w:p>
        </w:tc>
        <w:tc>
          <w:tcPr>
            <w:tcW w:type="dxa" w:w="1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w:t>
            </w:r>
          </w:p>
        </w:tc>
      </w:tr>
      <w:tr>
        <w:tc>
          <w:tcPr>
            <w:tcW w:type="dxa" w:w="5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دخان مستهدف (Project360/Bridge/Workstream/Documents/Portfolio)</w:t>
            </w:r>
          </w:p>
        </w:tc>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91/91</w:t>
            </w:r>
          </w:p>
        </w:tc>
        <w:tc>
          <w:tcPr>
            <w:tcW w:type="dxa" w:w="1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w:t>
            </w:r>
          </w:p>
        </w:tc>
      </w:tr>
      <w:tr>
        <w:tc>
          <w:tcPr>
            <w:tcW w:type="dxa" w:w="5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اختبارات الواجهة (vitest)</w:t>
            </w:r>
          </w:p>
        </w:tc>
        <w:tc>
          <w:tcPr>
            <w:tcW w:type="dxa" w:w="32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588/588 (50 ملفّ)</w:t>
            </w:r>
          </w:p>
        </w:tc>
        <w:tc>
          <w:tcPr>
            <w:tcW w:type="dxa" w:w="13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0</w:t>
            </w:r>
          </w:p>
        </w:tc>
      </w:tr>
    </w:tbl>
    <w:p>
      <w:pPr>
        <w:bidi/>
        <w:spacing w:after="120" w:before="0"/>
        <w:jc w:val="right"/>
      </w:pPr>
      <w:r>
        <w:rPr>
          <w:rFonts w:ascii="Arial" w:cs="Arial" w:eastAsia="Arial" w:hAnsi="Arial"/>
          <w:b w:val="false"/>
          <w:bCs w:val="false"/>
          <w:i w:val="false"/>
          <w:iCs w:val="false"/>
          <w:sz w:val="22"/>
          <w:szCs w:val="22"/>
          <w:rtl/>
        </w:rPr>
        <w:t xml:space="preserve">درس تشغيليّ: التشغيل المتوازي أظهر فشل 13 اختبار RepeatableNumericValidation (مجموعة PfeNumericIsolated) بسبب سباق تهيئة بين المجموعات المعزولة والمجموعة الثقيلة Integration — قطعة أثر في المِنصّة لا عيب منتج: الاختبارات نفسها 13/13 ناجحة منفردة، والتشغيل المتسلسل 2011/2011 برمز 0. المقياس الموثوق هو المتسلسل (parallelizeTestCollections=false).</w:t>
      </w:r>
    </w:p>
    <w:p>
      <w:pPr>
        <w:pStyle w:val="Heading1"/>
        <w:bidi/>
        <w:spacing w:after="120" w:before="260"/>
        <w:jc w:val="right"/>
      </w:pPr>
      <w:r>
        <w:rPr>
          <w:rFonts w:ascii="Arial" w:cs="Arial" w:eastAsia="Arial" w:hAnsi="Arial"/>
          <w:b/>
          <w:bCs/>
          <w:rtl/>
        </w:rPr>
        <w:t xml:space="preserve">8) مصفوفة الـ115 والانحدار القائم على المخاطر</w:t>
      </w:r>
    </w:p>
    <w:p>
      <w:pPr>
        <w:bidi/>
        <w:spacing w:after="120" w:before="0"/>
        <w:jc w:val="right"/>
      </w:pPr>
      <w:r>
        <w:rPr>
          <w:rFonts w:ascii="Arial" w:cs="Arial" w:eastAsia="Arial" w:hAnsi="Arial"/>
          <w:b w:val="false"/>
          <w:bCs w:val="false"/>
          <w:i w:val="false"/>
          <w:iCs w:val="false"/>
          <w:sz w:val="22"/>
          <w:szCs w:val="22"/>
          <w:rtl/>
        </w:rPr>
        <w:t xml:space="preserve">الـ115 = 90 (حزم R1) + 25 (UAT-R2) مكتبة حالات قابلة للتنفيذ لا نتائج، تحملها كرّاسة R2.1 نموذجًا فارغًا. عدم تنفيذها لا يمنع النشر (حسب FINAL-ACCEPTANCE-GATE.md:149)، ويمنع فقط ادّعاء 141/141 PASS. سطح تغيير R2.1 مغطّى بالبوّابات الآليّة (تكامل/وحدة هذه الدورة) + 26/26 من UAT-R21 بأدلّة حقيقيّة.</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LEGACY_115_EXECUTED = 0 (غير مانع) · RISK_BASED_REGRESSION = الحزمة الآليّة المتسلسلة على النسخة المعزولة.</w:t>
      </w:r>
    </w:p>
    <w:p>
      <w:pPr>
        <w:pStyle w:val="Heading1"/>
        <w:bidi/>
        <w:spacing w:after="120" w:before="260"/>
        <w:jc w:val="right"/>
      </w:pPr>
      <w:r>
        <w:rPr>
          <w:rFonts w:ascii="Arial" w:cs="Arial" w:eastAsia="Arial" w:hAnsi="Arial"/>
          <w:b/>
          <w:bCs/>
          <w:rtl/>
        </w:rPr>
        <w:t xml:space="preserve">9) BASELINE-DEFECT-02 — غير مانع</w:t>
      </w:r>
    </w:p>
    <w:p>
      <w:pPr>
        <w:bidi/>
        <w:spacing w:after="120" w:before="0"/>
        <w:jc w:val="right"/>
      </w:pPr>
      <w:r>
        <w:rPr>
          <w:rFonts w:ascii="Arial" w:cs="Arial" w:eastAsia="Arial" w:hAnsi="Arial"/>
          <w:b w:val="false"/>
          <w:bCs w:val="false"/>
          <w:i w:val="false"/>
          <w:iCs w:val="false"/>
          <w:sz w:val="22"/>
          <w:szCs w:val="22"/>
          <w:rtl/>
        </w:rPr>
        <w:t xml:space="preserve">EmployeeProfileScopeTests.Profile_Summary_Reflects_Submitted_Kpi: قطعة أثر تجهيز اختبار (صنف BASELINE-DEFECT-01 نفسه) لا عيب منتج. ناجح منفردًا على قاعدة نظيفة وضمن التشغيل المتسلسل 2011/2011. لم يُجرَ أيّ تعديل شيفرة. BASELINE_DEFECT_02 = OPEN (test-fixture only) — NON-BLOCKING.</w:t>
      </w:r>
    </w:p>
    <w:p>
      <w:pPr>
        <w:pStyle w:val="Heading1"/>
        <w:bidi/>
        <w:spacing w:after="120" w:before="260"/>
        <w:jc w:val="right"/>
      </w:pPr>
      <w:r>
        <w:rPr>
          <w:rFonts w:ascii="Arial" w:cs="Arial" w:eastAsia="Arial" w:hAnsi="Arial"/>
          <w:b/>
          <w:bCs/>
          <w:rtl/>
        </w:rPr>
        <w:t xml:space="preserve">10) الدخان المعزول — ISOLATED_SMOKE = PASS</w:t>
      </w:r>
    </w:p>
    <w:p>
      <w:pPr>
        <w:bidi/>
        <w:spacing w:after="120" w:before="0"/>
        <w:jc w:val="right"/>
      </w:pPr>
      <w:r>
        <w:rPr>
          <w:rFonts w:ascii="Arial" w:cs="Arial" w:eastAsia="Arial" w:hAnsi="Arial"/>
          <w:b w:val="false"/>
          <w:bCs w:val="false"/>
          <w:i w:val="false"/>
          <w:iCs w:val="false"/>
          <w:sz w:val="22"/>
          <w:szCs w:val="22"/>
          <w:rtl/>
        </w:rPr>
        <w:t xml:space="preserve">صحّة 200 · مسار محميّ بلا مصادقة 401 · دخول خاطئ 401 · SignalR negotiate بلا مصادقة 401 · CORS يرفض أصلًا أجنبيًّا ويقبل أصل الإنتاج فقط · قوائم/Project360 overview/Client360 بمصادقة 200 · اتّصال خارجيّ واحد (postgres) · لا SMTP · صندوق البريد 0 غير مُرسَل · لا أخطاء حقيقيّة في السجلّ · لا طلبات localhost/TEST/RC. (تقديم SPA ثابت مسؤوليّة nginx لا الـAPI؛ سلامة dist مُتحقَّقة منفصلةً.)</w:t>
      </w:r>
    </w:p>
    <w:p>
      <w:pPr>
        <w:pStyle w:val="Heading1"/>
        <w:bidi/>
        <w:spacing w:after="120" w:before="260"/>
        <w:jc w:val="right"/>
      </w:pPr>
      <w:r>
        <w:rPr>
          <w:rFonts w:ascii="Arial" w:cs="Arial" w:eastAsia="Arial" w:hAnsi="Arial"/>
          <w:b/>
          <w:bCs/>
          <w:rtl/>
        </w:rPr>
        <w:t xml:space="preserve">11) خطّة النشر (20 خطوة، لم تُنفَّذ) والتراجع — ROLLBACK_READY = YES</w:t>
      </w:r>
    </w:p>
    <w:p>
      <w:pPr>
        <w:bidi/>
        <w:spacing w:after="120" w:before="0"/>
        <w:jc w:val="right"/>
      </w:pPr>
      <w:r>
        <w:rPr>
          <w:rFonts w:ascii="Arial" w:cs="Arial" w:eastAsia="Arial" w:hAnsi="Arial"/>
          <w:b w:val="false"/>
          <w:bCs w:val="false"/>
          <w:i w:val="false"/>
          <w:iCs w:val="false"/>
          <w:sz w:val="22"/>
          <w:szCs w:val="22"/>
          <w:rtl/>
        </w:rPr>
        <w:t xml:space="preserve">خطّة تنفيذيّة كاملة: إعلان ⟵ نسخة طازجة ⟵ جسر (dry ثمّ apply) ⟵ إيقاف الخدمة (بدء التوقّف) ⟵ نشر الحزمتَين ⟵ تعديل env (documents root) ⟵ تشغيل (MigrateAsync ×10) ⟵ صحّة 200 (نهاية التوقّف) ⟵ دخان عبر nginx ⟵ توثيق. نقطة اللاعودة: بدء الخطوة 13 (كتابة الهجرات). تراجع مستوى 1: إعادة الحزمة القديمة (متوافق بنيويًّا لأنّ الهجرات إضافيّة بحتة). مستوى 2: استعادة قاعدة كاملة (مرجعيّة). EXPECTED_DOWNTIME ≈ 2–5 دقائق.</w:t>
      </w:r>
    </w:p>
    <w:p>
      <w:pPr>
        <w:pStyle w:val="Heading1"/>
        <w:bidi/>
        <w:spacing w:after="120" w:before="260"/>
        <w:jc w:val="right"/>
      </w:pPr>
      <w:r>
        <w:rPr>
          <w:rFonts w:ascii="Arial" w:cs="Arial" w:eastAsia="Arial" w:hAnsi="Arial"/>
          <w:b/>
          <w:bCs/>
          <w:rtl/>
        </w:rPr>
        <w:t xml:space="preserve">12) الحواجز المفتوحة قبل التنفيذ — OPEN_BLOCKERS</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PROD-READINESS-01 (إعداد): إضافة FileStorage__DocumentsRootPath — مُثبَت الإغلاق على النسخة المعزولة، لم يُطبَّق على الإنتاج بعد.</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مفاتيح DataProtection لـwww-data غير موجودة في النسخة الاحتياطيّة ⟹ التفعيل يُبطِل الجلسات ما لم تُهيَّأ حلقة مفاتيح دائمة قبل إعادة التشغيل.</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تصريح نشر صريح جديد — غير موجود (هذه التذكرة ليست تصريحًا).</w:t>
      </w:r>
    </w:p>
    <w:p>
      <w:pPr>
        <w:pStyle w:val="Heading1"/>
        <w:bidi/>
        <w:spacing w:after="120" w:before="260"/>
        <w:jc w:val="right"/>
      </w:pPr>
      <w:r>
        <w:rPr>
          <w:rFonts w:ascii="Arial" w:cs="Arial" w:eastAsia="Arial" w:hAnsi="Arial"/>
          <w:b/>
          <w:bCs/>
          <w:rtl/>
        </w:rPr>
        <w:t xml:space="preserve">13) القرار</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600"/>
        <w:gridCol w:w="6500"/>
      </w:tblGrid>
      <w:tr>
        <w:trPr>
          <w:tblHeader/>
        </w:trPr>
        <w:tc>
          <w:tcPr>
            <w:tcW w:type="dxa" w:w="36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المقدار</w:t>
            </w:r>
          </w:p>
        </w:tc>
        <w:tc>
          <w:tcPr>
            <w:tcW w:type="dxa" w:w="65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القيمة</w:t>
            </w:r>
          </w:p>
        </w:tc>
      </w:tr>
      <w:tr>
        <w:tc>
          <w:tcPr>
            <w:tcW w:type="dxa" w:w="3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PRODUCTION_READINESS</w:t>
            </w:r>
          </w:p>
        </w:tc>
        <w:tc>
          <w:tcPr>
            <w:tcW w:type="dxa" w:w="6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CONDITIONAL_GO</w:t>
            </w:r>
          </w:p>
        </w:tc>
      </w:tr>
      <w:tr>
        <w:tc>
          <w:tcPr>
            <w:tcW w:type="dxa" w:w="3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PRODUCTION_DEPLOY_AUTHORIZED</w:t>
            </w:r>
          </w:p>
        </w:tc>
        <w:tc>
          <w:tcPr>
            <w:tcW w:type="dxa" w:w="6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NO</w:t>
            </w:r>
          </w:p>
        </w:tc>
      </w:tr>
      <w:tr>
        <w:tc>
          <w:tcPr>
            <w:tcW w:type="dxa" w:w="3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NEXT_REQUIRED_ACTION</w:t>
            </w:r>
          </w:p>
        </w:tc>
        <w:tc>
          <w:tcPr>
            <w:tcW w:type="dxa" w:w="6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مراجعة التقرير، ثمّ (عند القرار) تصريح نشر صريح منفصل مع إغلاق الحاجزَين الإعداديَّين أثناء نافذة الصيانة حسب خطّة النشر.</w:t>
            </w:r>
          </w:p>
        </w:tc>
      </w:tr>
    </w:tbl>
    <w:p>
      <w:pPr>
        <w:bidi/>
        <w:spacing w:after="120" w:before="0"/>
        <w:jc w:val="right"/>
      </w:pPr>
      <w:r>
        <w:rPr>
          <w:rFonts w:ascii="Arial" w:cs="Arial" w:eastAsia="Arial" w:hAnsi="Arial"/>
          <w:b w:val="false"/>
          <w:bCs w:val="false"/>
          <w:i w:val="false"/>
          <w:iCs w:val="false"/>
          <w:sz w:val="22"/>
          <w:szCs w:val="22"/>
          <w:rtl/>
        </w:rPr>
        <w:t xml:space="preserve">التبرير: المرشّح مبنيّ ومختبَر ومُجرَّب معزولًا بالكامل (بناء/اختبار PASS، تكامل 2011/2011، جسر الهجرات مُثبَت بلا فقدان، دخان معزول PASS، نسخة/استعادة مؤكَّدة). يتبقّى حاجزان إعداديّان يُغلقان عند التنفيذ، وتصريح نشر صريح. لذلك القرار مشروط لا GO مطلق ولا NO_GO.</w:t>
      </w:r>
    </w:p>
    <w:p>
      <w:pPr>
        <w:pStyle w:val="Heading1"/>
        <w:bidi/>
        <w:spacing w:after="120" w:before="260"/>
        <w:jc w:val="right"/>
      </w:pPr>
      <w:r>
        <w:rPr>
          <w:rFonts w:ascii="Arial" w:cs="Arial" w:eastAsia="Arial" w:hAnsi="Arial"/>
          <w:b/>
          <w:bCs/>
          <w:rtl/>
        </w:rPr>
        <w:t xml:space="preserve">14) فحص بصريّ (Visual QA) ومسح الأسرار</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مسح أسرار الحزمة/التقرير: لم تُطبَع أيّ أسرار؛ Staging بلا ملفّ بيئة أو قيم سرّيّة؛ سرّ env يُحفظ كمجموع تحقّق فقط.</w:t>
      </w:r>
    </w:p>
    <w:p>
      <w:pPr>
        <w:bidi/>
        <w:spacing w:after="120" w:before="0"/>
        <w:jc w:val="right"/>
      </w:pPr>
      <w:r>
        <w:rPr>
          <w:rFonts w:ascii="Arial" w:cs="Arial" w:eastAsia="Arial" w:hAnsi="Arial"/>
          <w:b w:val="false"/>
          <w:bCs w:val="false"/>
          <w:i w:val="false"/>
          <w:iCs w:val="false"/>
          <w:sz w:val="22"/>
          <w:szCs w:val="22"/>
          <w:rtl/>
        </w:rPr>
        <w:t xml:space="preserve">• </w:t>
      </w:r>
      <w:r>
        <w:rPr>
          <w:rFonts w:ascii="Arial" w:cs="Arial" w:eastAsia="Arial" w:hAnsi="Arial"/>
          <w:b w:val="false"/>
          <w:bCs w:val="false"/>
          <w:i w:val="false"/>
          <w:iCs w:val="false"/>
          <w:sz w:val="22"/>
          <w:szCs w:val="22"/>
          <w:rtl/>
        </w:rPr>
        <w:t xml:space="preserve">Visual QA: اتّجاه RTL، سلامة الجداول، لا نصّ مبتور في مخرجات DOCX/PDF.</w:t>
      </w:r>
    </w:p>
    <w:p>
      <w:r>
        <w:br w:type="page"/>
      </w:r>
    </w:p>
    <w:p>
      <w:pPr>
        <w:pStyle w:val="Heading1"/>
        <w:bidi/>
        <w:spacing w:after="120" w:before="260"/>
        <w:jc w:val="right"/>
      </w:pPr>
      <w:r>
        <w:rPr>
          <w:rFonts w:ascii="Arial" w:cs="Arial" w:eastAsia="Arial" w:hAnsi="Arial"/>
          <w:b/>
          <w:bCs/>
          <w:rtl/>
        </w:rPr>
        <w:t xml:space="preserve">15) صفحة الاعتماد (فارغة عمدًا)</w:t>
      </w:r>
    </w:p>
    <w:p>
      <w:pPr>
        <w:bidi/>
        <w:spacing w:after="120" w:before="0"/>
        <w:jc w:val="right"/>
      </w:pPr>
      <w:r>
        <w:rPr>
          <w:rFonts w:ascii="Arial" w:cs="Arial" w:eastAsia="Arial" w:hAnsi="Arial"/>
          <w:b/>
          <w:bCs/>
          <w:i w:val="false"/>
          <w:iCs w:val="false"/>
          <w:color w:val="C00000"/>
          <w:sz w:val="22"/>
          <w:szCs w:val="22"/>
          <w:rtl/>
        </w:rPr>
        <w:t xml:space="preserve">تنبيه: الجاهزيّة ليست تصريح نشر. تُملأ هذه الصفحة فقط عند إصدار تصريح نشر صريح منفصل.</w:t>
      </w:r>
    </w:p>
    <w:tbl>
      <w:tblPr>
        <w:bidiVisual/>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600"/>
        <w:gridCol w:w="6500"/>
      </w:tblGrid>
      <w:tr>
        <w:trPr>
          <w:tblHeader/>
        </w:trPr>
        <w:tc>
          <w:tcPr>
            <w:tcW w:type="dxa" w:w="36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الحقل</w:t>
            </w:r>
          </w:p>
        </w:tc>
        <w:tc>
          <w:tcPr>
            <w:tcW w:type="dxa" w:w="6500"/>
            <w:shd w:fill="D9E2F3" w:color="auto" w:val="clear"/>
            <w:tcMar>
              <w:top w:type="dxa" w:w="40"/>
              <w:left w:type="dxa" w:w="70"/>
              <w:bottom w:type="dxa" w:w="40"/>
              <w:right w:type="dxa" w:w="70"/>
            </w:tcMar>
          </w:tcPr>
          <w:p>
            <w:pPr>
              <w:bidi/>
              <w:jc w:val="right"/>
            </w:pPr>
            <w:r>
              <w:rPr>
                <w:rFonts w:ascii="Arial" w:cs="Arial" w:eastAsia="Arial" w:hAnsi="Arial"/>
                <w:b/>
                <w:bCs/>
                <w:sz w:val="18"/>
                <w:szCs w:val="18"/>
                <w:rtl/>
              </w:rPr>
              <w:t xml:space="preserve">القيمة</w:t>
            </w:r>
          </w:p>
        </w:tc>
      </w:tr>
      <w:tr>
        <w:tc>
          <w:tcPr>
            <w:tcW w:type="dxa" w:w="3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اسم المُصرِّح (مالك المنتج)</w:t>
            </w:r>
          </w:p>
        </w:tc>
        <w:tc>
          <w:tcPr>
            <w:tcW w:type="dxa" w:w="6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____________________</w:t>
            </w:r>
          </w:p>
        </w:tc>
      </w:tr>
      <w:tr>
        <w:tc>
          <w:tcPr>
            <w:tcW w:type="dxa" w:w="3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القرار (نشر / تأجيل)</w:t>
            </w:r>
          </w:p>
        </w:tc>
        <w:tc>
          <w:tcPr>
            <w:tcW w:type="dxa" w:w="6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____________________</w:t>
            </w:r>
          </w:p>
        </w:tc>
      </w:tr>
      <w:tr>
        <w:tc>
          <w:tcPr>
            <w:tcW w:type="dxa" w:w="3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التاريخ والوقت</w:t>
            </w:r>
          </w:p>
        </w:tc>
        <w:tc>
          <w:tcPr>
            <w:tcW w:type="dxa" w:w="6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____________________</w:t>
            </w:r>
          </w:p>
        </w:tc>
      </w:tr>
      <w:tr>
        <w:tc>
          <w:tcPr>
            <w:tcW w:type="dxa" w:w="3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نطاق التصريح</w:t>
            </w:r>
          </w:p>
        </w:tc>
        <w:tc>
          <w:tcPr>
            <w:tcW w:type="dxa" w:w="6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____________________</w:t>
            </w:r>
          </w:p>
        </w:tc>
      </w:tr>
      <w:tr>
        <w:tc>
          <w:tcPr>
            <w:tcW w:type="dxa" w:w="36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التوقيع</w:t>
            </w:r>
          </w:p>
        </w:tc>
        <w:tc>
          <w:tcPr>
            <w:tcW w:type="dxa" w:w="6500"/>
            <w:tcMar>
              <w:top w:type="dxa" w:w="40"/>
              <w:left w:type="dxa" w:w="70"/>
              <w:bottom w:type="dxa" w:w="40"/>
              <w:right w:type="dxa" w:w="70"/>
            </w:tcMar>
          </w:tcPr>
          <w:p>
            <w:pPr>
              <w:bidi/>
              <w:jc w:val="right"/>
            </w:pPr>
            <w:r>
              <w:rPr>
                <w:rFonts w:ascii="Arial" w:cs="Arial" w:eastAsia="Arial" w:hAnsi="Arial"/>
                <w:b w:val="false"/>
                <w:bCs w:val="false"/>
                <w:sz w:val="18"/>
                <w:szCs w:val="18"/>
                <w:rtl/>
              </w:rPr>
              <w:t xml:space="preserve">____________________</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صفحة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tl/>
      </w:rPr>
      <w:t xml:space="preserve">تقرير جاهزيّة الإنتاج — Project 360 R2.1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PROJECT360 R2.1 Production Readiness Report</dc:title>
  <dc:creator>Marketing Experts Reporting</dc:creator>
  <cp:lastModifiedBy>Un-named</cp:lastModifiedBy>
  <cp:revision>1</cp:revision>
  <dcterms:created xsi:type="dcterms:W3CDTF">2026-08-23T12:32:26.817Z</dcterms:created>
  <dcterms:modified xsi:type="dcterms:W3CDTF">2026-08-23T12:32:26.818Z</dcterms:modified>
</cp:coreProperties>
</file>

<file path=docProps/custom.xml><?xml version="1.0" encoding="utf-8"?>
<Properties xmlns="http://schemas.openxmlformats.org/officeDocument/2006/custom-properties" xmlns:vt="http://schemas.openxmlformats.org/officeDocument/2006/docPropsVTypes"/>
</file>