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تقرير نشر Project 360 R2.1 على الإنتاج (تنفيذ فعليّ مُصرَّح به)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التاريخ: </w:t>
      </w:r>
      <w:r>
        <w:rPr>
          <w:rFonts w:ascii="Arial" w:cs="Arial" w:eastAsia="Arial" w:hAnsi="Arial"/>
          <w:b w:val="false"/>
          <w:bCs w:val="false"/>
          <w:rtl/>
        </w:rPr>
        <w:t xml:space="preserve">23 أغسطس 2026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البيئة: </w:t>
      </w:r>
      <w:r>
        <w:rPr>
          <w:rFonts w:ascii="Arial" w:cs="Arial" w:eastAsia="Arial" w:hAnsi="Arial"/>
          <w:b w:val="false"/>
          <w:bCs w:val="false"/>
          <w:rtl/>
        </w:rPr>
        <w:t xml:space="preserve">الإنتاج — reports.emarketingacademy.net — خدمة reporting-api (systemd، www-data، 127.0.0.1:5090)، قاعدة reporting_prod.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المرشّح المنشور (TARGET_SHA): </w:t>
      </w:r>
      <w:r>
        <w:rPr>
          <w:rFonts w:ascii="Arial" w:cs="Arial" w:eastAsia="Arial" w:hAnsi="Arial"/>
          <w:b w:val="false"/>
          <w:bCs w:val="false"/>
          <w:rtl/>
        </w:rPr>
        <w:t xml:space="preserve">7e063b493b50ad90ba6131e47042c7cd035fb65b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التصريح: </w:t>
      </w:r>
      <w:r>
        <w:rPr>
          <w:rFonts w:ascii="Arial" w:cs="Arial" w:eastAsia="Arial" w:hAnsi="Arial"/>
          <w:b w:val="false"/>
          <w:bCs w:val="false"/>
          <w:rtl/>
        </w:rPr>
        <w:t xml:space="preserve">تصريح صريح ومنفصل من مالك المنتج بنشر الإنتاج + إقرار صريح بتعديل القسم الخامس واعتماد الخيار A (استمرارية DataProtection على مستوى البنية دون تغيير الشيفرة).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النتيجة النهائيّة: </w:t>
      </w:r>
      <w:r>
        <w:rPr>
          <w:rFonts w:ascii="Arial" w:cs="Arial" w:eastAsia="Arial" w:hAnsi="Arial"/>
          <w:b w:val="false"/>
          <w:bCs w:val="false"/>
          <w:rtl/>
        </w:rPr>
        <w:t xml:space="preserve">نُشِر بنجاح — كلّ البوّابات خضراء، صفر فقدان بيانات، استمرارية مفاتيح DataProtection مُثبَتة على الإنتاج نفسه.</w:t>
      </w:r>
    </w:p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1) القسم الخامس — حاجب DataProtection وحلّه بالخيار A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الاكتشاف: </w:t>
      </w:r>
      <w:r>
        <w:rPr>
          <w:rFonts w:ascii="Arial" w:cs="Arial" w:eastAsia="Arial" w:hAnsi="Arial"/>
          <w:b w:val="false"/>
          <w:bCs w:val="false"/>
          <w:rtl/>
        </w:rPr>
        <w:t xml:space="preserve">مصدر TARGET_SHA لا يُهيّئ أيّ DataProtection مُستمرّ (git grep في src = صفر). التطبيق يستعمل المزوّد الافتراضيّ ⟹ يخزّن المفاتيح في $HOME/.aspnet/DataProtection-Keys إن كان HOME قابلًا للكتابة، وإلّا فَعابرة. الإنتاج كان يعمل عابرًا فعلًا منذ ≥ 20 أغسطس (لا انحدار جديد).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أثر محدود: </w:t>
      </w:r>
      <w:r>
        <w:rPr>
          <w:rFonts w:ascii="Arial" w:cs="Arial" w:eastAsia="Arial" w:hAnsi="Arial"/>
          <w:b w:val="false"/>
          <w:bCs w:val="false"/>
          <w:rtl/>
        </w:rPr>
        <w:t xml:space="preserve">المصادقة JWT Bearer (HMAC) لا كوكيز DataProtection؛ ورموز التحديث سلاسل عشوائيّة في refresh_tokens ⟹ إعادة التشغيل لا تُخرِج المستخدمين النشطين. المتأثّر فقط روابط إعادة التعيين/تأكيد البريد ورموز مكافحة التزوير الصادرة قبل إعادة التشغيل.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الحلّ (الخيار A، بلا شيفرة): </w:t>
      </w:r>
      <w:r>
        <w:rPr>
          <w:rFonts w:ascii="Arial" w:cs="Arial" w:eastAsia="Arial" w:hAnsi="Arial"/>
          <w:b w:val="false"/>
          <w:bCs w:val="false"/>
          <w:rtl/>
        </w:rPr>
        <w:t xml:space="preserve">إسقاط systemd قابل للعكس 10-dataprotection-home.conf ⟵ Environment=HOME=/var/lib/reporting، ومجلّد /var/lib/reporting/.aspnet/DataProtection-Keys (0700، www-data). المزوّد الافتراضيّ يُثبِّت المفاتيح عبر إعادات التشغيل.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فحص تبعيّة HOME في المصدر: </w:t>
      </w:r>
      <w:r>
        <w:rPr>
          <w:rFonts w:ascii="Arial" w:cs="Arial" w:eastAsia="Arial" w:hAnsi="Arial"/>
          <w:b w:val="false"/>
          <w:bCs w:val="false"/>
          <w:rtl/>
        </w:rPr>
        <w:t xml:space="preserve">لا شيء — المصدر يقرأ ContentRootPath فقط؛ ضبط HOME يؤثّر حصرًا على اكتشاف حلقة مفاتيح DataProtection.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قيد موثَّق: </w:t>
      </w:r>
      <w:r>
        <w:rPr>
          <w:rFonts w:ascii="Arial" w:cs="Arial" w:eastAsia="Arial" w:hAnsi="Arial"/>
          <w:b w:val="false"/>
          <w:bCs w:val="false"/>
          <w:rtl/>
        </w:rPr>
        <w:t xml:space="preserve">المفاتيح غير مشفَّرة عند الراحة، مُخفَّف بملكيّة www-data + 0700 + ضوابط الخادم. توصية اختياريّة مستقبليّة (X.509/KMS) — ليست في هذا الإصدار.</w:t>
      </w:r>
    </w:p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2) القسم السابع — جسر تاريخ الهجرات (30 ← 32)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تجربة جافّة: 9/9 فحوصًا قبليّة ناجحة، بصمة المخطَّط كاملةً مطابقة، معرّفا النَسَب المرشَّح غائبان بالضبط.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التطبيق: صفّا مطابقة (alias) مُدرَجان ⟹ التاريخ 30 ← 32، بصمة المخطَّط بلا تغيير، وSQL تراجع مُولَّد تلقائيًّا.</w:t>
      </w:r>
    </w:p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3) القسم الثامن — التفعيل والهجرة (32 ← 42)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shd w:fill="D9E2F3" w:color="auto" w:val="clear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البند</w:t>
            </w:r>
          </w:p>
        </w:tc>
        <w:tc>
          <w:tcPr>
            <w:tcW w:type="dxa" w:w="5000"/>
            <w:shd w:fill="D9E2F3" w:color="auto" w:val="clear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القيمة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بصمة الخلفيّة المنشورة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36d7f525… (= المتوقَّع)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بصمة الواجهة المنشورة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165bdd1a… (= المتوقَّع، واجهة الإنتاج)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البصمة المخبوزة في الثنائيّ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1.0.0+7e063b49… (= TARGET_SHA)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تدقيق عناوين الواجهة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إنتاج=1 · TEST=0 · RC=0 · localhost=0 · sourcemaps=0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بدء الإقلاع (نهاية التوقّف)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16:48:06Z ← صحّة 200 خلال ~12 ثانية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الهجرات المطبَّقة هذا الإقلاع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10 (صفر 42P07، صفر سطر خطأ)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سجلّ الهجرات / الرأس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42 / AddProjectExecutionUpdateProposals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البنية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79 جدولًا / 947 عمودًا</w:t>
            </w:r>
          </w:p>
        </w:tc>
      </w:tr>
      <w:tr>
        <w:tc>
          <w:tcPr>
            <w:tcW w:type="dxa" w:w="42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سلامة البيانات</w:t>
            </w:r>
          </w:p>
        </w:tc>
        <w:tc>
          <w:tcPr>
            <w:tcW w:type="dxa" w:w="50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المستخدمون 34 · audit_logs 1401 (بلا فقدان)</w:t>
            </w:r>
          </w:p>
        </w:tc>
      </w:tr>
    </w:tbl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4) استمرارية DataProtection — إثبات على الإنتاج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الإقلاع 1: </w:t>
      </w:r>
      <w:r>
        <w:rPr>
          <w:rFonts w:ascii="Arial" w:cs="Arial" w:eastAsia="Arial" w:hAnsi="Arial"/>
          <w:b w:val="false"/>
          <w:bCs w:val="false"/>
          <w:rtl/>
        </w:rPr>
        <w:t xml:space="preserve">مفتاح واحد key-59f89eea…xml (حجم 1000، sha256 d08d6f81…، 600 www-data)، وتحذير EphemeralXmlRepository غائب.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إعادة تشغيل التحقّق (الإقلاع 2): </w:t>
      </w:r>
      <w:r>
        <w:rPr>
          <w:rFonts w:ascii="Arial" w:cs="Arial" w:eastAsia="Arial" w:hAnsi="Arial"/>
          <w:b w:val="false"/>
          <w:bCs w:val="false"/>
          <w:rtl/>
        </w:rPr>
        <w:t xml:space="preserve">صحّة 200 خلال ~8 ثوانٍ، نفس المفتاح (SHA وmtime متطابقان ⟹ مُحمَّل لا مُعاد إنشاؤه)، عدد المفاتيح 1، تحذير عابر = 0، هجرات = 0. ⟹ أيّ ما حُمِي قبل إعادة التشغيل قابل لفكّ التشفير بعده.</w:t>
      </w:r>
    </w:p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5) القسم التاسع — دخان للقراءة فقط (بلا بيانات أعمال)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صحّة الأصل 200؛ /api/clients و/api/projects بلا مصادقة = 401؛ تسجيل دخول خاطئ = 400 (بلا إنشاء مستخدم، العدّ 34 ثابت).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Swagger غير مكشوف: التطبيق نفسه يُرجِع 404 لكلّ /swagger/*؛ الـ200 على الأصل مجرّد ارتداد SPA من nginx (HTML عربيّ RTL).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CORS: لا ترويسة Access-Control-Allow-Origin لأصل أجنبيّ (evil.example.com) ⟹ مرفوض. جذر SPA = 200.</w:t>
      </w:r>
    </w:p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6) القسم العاشر — إعادة الخدمات الجانبيّة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استُعيدت القيم الأصليّة من env.pre-window-20260823T164353Z (اختلفت المفاتيح الأربعة فقط، وFileStorage__DocumentsRootPath محفوظ): EmailNotifications__Mode=Enabled · Reminders__Enabled=true · ReportReminderScheduler__Enabled=true · Scheduler__Enabled=true.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email_outbox بعد إعادة التشغيل = 0/0 (بلا انفجار إرسال).</w:t>
      </w:r>
    </w:p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7) النسخ الاحتياطيّ والتراجع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النسخة: /opt/backups/prod-deploy-20260823T164012Z-r21 (0700) — pg_dump -Fc + -Fp.gz، حزم publish/dist، env(0600)، nginx، وحدة الخدمة، مفاتيح DataProtection، التخزين، CURRENT-STATE.txt، SHA256SUMS — مُتحقَّق منها باستعادة ومقارنة فعليّة.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الجاهزيّة: الرتبة 1 (استبدال الأثر فقط — الهجرات إضافيّة بحتة فالكود القديم متوافق مع مخطَّط 42) + الرتبة 2 (استعادة كاملة)؛ وSQL تراجع الجسر مُولَّد.</w:t>
      </w:r>
    </w:p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8) القسم الثاني عشر — المراقبة (≥ 30 دقيقة)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نافذة 16:51:12Z ← 17:22:21Z (~31 دقيقة، 31 عيّنة كلّ 60 ثانية)، بمعرّف عمليّة ثابت MainPID=1450106.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صفر شذوذ عبر العيّنات الـ31 جميعها: صحّة=200، الخدمة نشطة، NRestarts=0، أخطاء 60 ثانية=0، الهجرات=42، المستخدمون=34، audit_logs=1401، outbox=0 طوال النافذة.</w:t>
      </w:r>
    </w:p>
    <w:p>
      <w:pPr>
        <w:pStyle w:val="Heading1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rtl/>
        </w:rPr>
        <w:t xml:space="preserve">9) الحوكمة — التزام كامل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D9E2F3" w:color="auto" w:val="clear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الضابط</w:t>
            </w:r>
          </w:p>
        </w:tc>
        <w:tc>
          <w:tcPr>
            <w:tcW w:type="dxa" w:w="4600"/>
            <w:shd w:fill="D9E2F3" w:color="auto" w:val="clear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الحالة</w:t>
            </w:r>
          </w:p>
        </w:tc>
      </w:tr>
      <w:tr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شيفرة المنتج</w:t>
            </w:r>
          </w:p>
        </w:tc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لم تُغيَّر</w:t>
            </w:r>
          </w:p>
        </w:tc>
      </w:tr>
      <w:tr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TARGET_SHA</w:t>
            </w:r>
          </w:p>
        </w:tc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لم يتغيَّر</w:t>
            </w:r>
          </w:p>
        </w:tc>
      </w:tr>
      <w:tr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بيانات UAT على الإنتاج</w:t>
            </w:r>
          </w:p>
        </w:tc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لا</w:t>
            </w:r>
          </w:p>
        </w:tc>
      </w:tr>
      <w:tr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origin/main</w:t>
            </w:r>
          </w:p>
        </w:tc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لم يُمسّ</w:t>
            </w:r>
          </w:p>
        </w:tc>
      </w:tr>
      <w:tr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الأسرار</w:t>
            </w:r>
          </w:p>
        </w:tc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لم تُطبَع</w:t>
            </w:r>
          </w:p>
        </w:tc>
      </w:tr>
      <w:tr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FileStorage__DocumentsRootPath</w:t>
            </w:r>
          </w:p>
        </w:tc>
        <w:tc>
          <w:tcPr>
            <w:tcW w:type="dxa" w:w="4600"/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طُبِّق (إغلاق PROD-READINESS-01) — المستندات خارج publish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2026-08-23T17:24:17.928Z</dcterms:created>
  <dcterms:modified xsi:type="dcterms:W3CDTF">2026-08-23T17:24:17.929Z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