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bidi w:val="1"/>
      </w:pPr>
      <w:r>
        <w:rPr>
          <w:rFonts w:ascii="Arial" w:hAnsi="Arial"/>
          <w:b/>
          <w:sz w:val="24"/>
          <w:rFonts w:ascii="Arial" w:hAnsi="Arial" w:cs="Arial" w:eastAsia="Arial"/>
          <w:rtl w:val="1"/>
        </w:rPr>
        <w:t>شركة خبراء التسويق — نظام تقارير الأداء</w:t>
      </w:r>
    </w:p>
    <w:p>
      <w:pPr>
        <w:spacing w:after="200"/>
        <w:jc w:val="center"/>
        <w:bidi w:val="1"/>
      </w:pPr>
      <w:r>
        <w:rPr>
          <w:rFonts w:ascii="Arial" w:hAnsi="Arial"/>
          <w:b/>
          <w:color w:val="1F3B63"/>
          <w:sz w:val="44"/>
          <w:rFonts w:ascii="Arial" w:hAnsi="Arial" w:cs="Arial" w:eastAsia="Arial"/>
          <w:rtl w:val="1"/>
        </w:rPr>
        <w:t>تقرير نشر مرشّح P123 على بيئة RC والتحقّق منه</w:t>
      </w:r>
    </w:p>
    <w:p>
      <w:pPr>
        <w:spacing w:after="320"/>
        <w:jc w:val="center"/>
        <w:bidi w:val="1"/>
      </w:pPr>
      <w:r>
        <w:rPr>
          <w:rFonts w:ascii="Arial" w:hAnsi="Arial"/>
          <w:b w:val="0"/>
          <w:sz w:val="22"/>
          <w:rFonts w:ascii="Arial" w:hAnsi="Arial" w:cs="Arial" w:eastAsia="Arial"/>
          <w:rtl w:val="1"/>
        </w:rPr>
        <w:t>26 أغسطس 2026 · إعداد: مهندس إصدار أوّل + قائد ضمان جودة + مراجع أمنيّ</w:t>
      </w:r>
    </w:p>
    <w:p>
      <w:pPr>
        <w:spacing w:after="80"/>
        <w:jc w:val="center"/>
        <w:bidi w:val="1"/>
      </w:pPr>
      <w:r>
        <w:rPr>
          <w:rFonts w:ascii="Arial" w:hAnsi="Arial"/>
          <w:b/>
          <w:sz w:val="26"/>
          <w:rFonts w:ascii="Arial" w:hAnsi="Arial" w:cs="Arial" w:eastAsia="Arial"/>
          <w:rtl w:val="1"/>
        </w:rPr>
        <w:t>الحكم النهائيّ</w:t>
      </w:r>
    </w:p>
    <w:p>
      <w:pPr>
        <w:spacing w:after="280"/>
        <w:jc w:val="center"/>
      </w:pPr>
      <w:r>
        <w:rPr>
          <w:rFonts w:ascii="Arial" w:hAnsi="Arial"/>
          <w:b/>
          <w:color w:val="B01C1C"/>
          <w:sz w:val="26"/>
          <w:rFonts w:ascii="Arial" w:hAnsi="Arial" w:cs="Arial" w:eastAsia="Arial"/>
        </w:rPr>
        <w:t>P123_RC_DEPLOYMENT_AND_VALIDATION_FAILED_NOT_READY_FOR_PRODUCTION</w:t>
      </w:r>
    </w:p>
    <w:tbl>
      <w:tblPr>
        <w:tblStyle w:val="TableGrid"/>
        <w:tblW w:type="auto" w:w="0"/>
        <w:jc w:val="center"/>
        <w:tblLook w:firstColumn="1" w:firstRow="1" w:lastColumn="0" w:lastRow="0" w:noHBand="0" w:noVBand="1" w:val="04A0"/>
        <w:bidiVisual/>
      </w:tblPr>
      <w:tblGrid>
        <w:gridCol w:w="5100"/>
        <w:gridCol w:w="5100"/>
      </w:tblGrid>
      <w:tr>
        <w:tc>
          <w:tcPr>
            <w:tcW w:type="dxa" w:w="2551"/>
            <w:shd w:fill="DCE6F1"/>
          </w:tcPr>
          <w:p>
            <w:pPr>
              <w:jc w:val="center"/>
              <w:bidi w:val="1"/>
            </w:pPr>
            <w:r>
              <w:rPr>
                <w:rFonts w:ascii="Arial" w:hAnsi="Arial"/>
                <w:b/>
                <w:sz w:val="20"/>
                <w:rFonts w:ascii="Arial" w:hAnsi="Arial" w:cs="Arial" w:eastAsia="Arial"/>
                <w:rtl w:val="1"/>
              </w:rPr>
            </w:r>
            <w:r>
              <w:rPr>
                <w:rFonts w:ascii="Arial" w:hAnsi="Arial"/>
                <w:b/>
                <w:sz w:val="20"/>
                <w:rFonts w:ascii="Arial" w:hAnsi="Arial" w:cs="Arial" w:eastAsia="Arial"/>
                <w:rtl w:val="1"/>
              </w:rPr>
              <w:t>الحقل</w:t>
            </w:r>
          </w:p>
        </w:tc>
        <w:tc>
          <w:tcPr>
            <w:tcW w:type="dxa" w:w="7087"/>
            <w:shd w:fill="DCE6F1"/>
          </w:tcPr>
          <w:p>
            <w:pPr>
              <w:jc w:val="center"/>
              <w:bidi w:val="1"/>
            </w:pPr>
            <w:r>
              <w:rPr>
                <w:rFonts w:ascii="Arial" w:hAnsi="Arial"/>
                <w:b/>
                <w:sz w:val="20"/>
                <w:rFonts w:ascii="Arial" w:hAnsi="Arial" w:cs="Arial" w:eastAsia="Arial"/>
                <w:rtl w:val="1"/>
              </w:rPr>
            </w:r>
            <w:r>
              <w:rPr>
                <w:rFonts w:ascii="Arial" w:hAnsi="Arial"/>
                <w:b/>
                <w:sz w:val="20"/>
                <w:rFonts w:ascii="Arial" w:hAnsi="Arial" w:cs="Arial" w:eastAsia="Arial"/>
                <w:rtl w:val="1"/>
              </w:rPr>
              <w:t>القيمة</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الفرع المدفوع</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feature/p123-remediation-20260826</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SHA الفرع</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328d59e2287ca2b8c9a8d818d582f0d1dd95dd19</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قيد الدمج على develop</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8479d374238b71731996ad73d20d1485701d2053</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RC_CANDIDATE_SHA</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8479d374238b71731996ad73d20d1485701d2053 (مطابق حرفيًّا لقيد الدمج)</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البيئة المنشور عليها</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RC حصرًا — rc-report.emarketingacademy.net · 127.0.0.1:5092 · reporting_rc</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الإنتاج</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لم يُمسّ · لم يُنشَر · غير مصرَّح به</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وسوم/فروع إصدار</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لا شيء — صفر وسم وصفر فرع إصدار</w:t>
            </w:r>
          </w:p>
        </w:tc>
      </w:tr>
      <w:tr>
        <w:tc>
          <w:tcPr>
            <w:tcW w:type="dxa" w:w="2551"/>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العيوب المفتوحة</w:t>
            </w:r>
          </w:p>
        </w:tc>
        <w:tc>
          <w:tcPr>
            <w:tcW w:type="dxa" w:w="7087"/>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1 (DEF-P123-RC-001 · شدّة P2 · إفشاء معلومات)</w:t>
            </w:r>
          </w:p>
        </w:tc>
      </w:tr>
    </w:tbl>
    <w:p/>
    <w:p>
      <w:r>
        <w:br w:type="page"/>
      </w:r>
    </w:p>
    <w:p>
      <w:pPr>
        <w:pStyle w:val="Heading1"/>
        <w:jc w:val="right"/>
        <w:bidi w:val="1"/>
      </w:pPr>
      <w:r>
        <w:rPr>
          <w:rFonts w:ascii="Arial" w:hAnsi="Arial"/>
          <w:b/>
          <w:color w:val="1F3B63"/>
          <w:sz w:val="32"/>
          <w:rFonts w:ascii="Arial" w:hAnsi="Arial" w:cs="Arial" w:eastAsia="Arial"/>
          <w:rtl w:val="1"/>
        </w:rPr>
        <w:t>١) الملخّص التنفيذيّ</w:t>
      </w:r>
    </w:p>
    <w:p>
      <w:pPr>
        <w:spacing w:after="80"/>
        <w:jc w:val="right"/>
        <w:bidi w:val="1"/>
      </w:pPr>
      <w:r>
        <w:rPr>
          <w:rFonts w:ascii="Arial" w:hAnsi="Arial"/>
          <w:b w:val="0"/>
          <w:sz w:val="22"/>
          <w:rFonts w:ascii="Arial" w:hAnsi="Arial" w:cs="Arial" w:eastAsia="Arial"/>
          <w:rtl w:val="1"/>
        </w:rPr>
        <w:t>نُفِّذت الجولة بالتسلسل المُصرَّح به كاملًا: دفع فرع العلاج، ثمّ دمجه في develop بعد اجتياز بوّابات الدمج، ثمّ بناء مرشّح من قيد الدمج نفسه، ثمّ نشره على RC حصرًا، ثمّ التحقّق التقنيّ والأمنيّ والوظيفيّ عليه حيًّا. لم تُمسّ بيئة الإنتاج بأيّ كتابة أو هجرة أو إعادة تشغيل، ولم يُنشَأ أيّ وسم.</w:t>
      </w:r>
    </w:p>
    <w:p>
      <w:pPr>
        <w:spacing w:after="80"/>
        <w:jc w:val="right"/>
        <w:bidi w:val="1"/>
      </w:pPr>
      <w:r>
        <w:rPr>
          <w:rFonts w:ascii="Arial" w:hAnsi="Arial"/>
          <w:b w:val="0"/>
          <w:sz w:val="22"/>
          <w:rFonts w:ascii="Arial" w:hAnsi="Arial" w:cs="Arial" w:eastAsia="Arial"/>
          <w:rtl w:val="1"/>
        </w:rPr>
        <w:t>النتيجة: ٨٨ سيناريو ناجحًا من ٩١، وسيناريوان أُعيد قياسهما بعد تصحيح خطأ في مِشدّ الاختبار لا في المنتج، وسيناريو واحد فاشل يمثّل عيبًا حقيقيًّا مؤكَّدًا ومُعاد إنتاجه معزولًا. وجود هذا العيب — وهو تسريب معلومات وخرق نطاق بشدّة P2 — يُسقِط بوّابتَي «صفر عيب P0/P1/P2» و«صفر تسريب أو خرق نطاق»، فتعذّر منح حكم النجاح.</w:t>
      </w:r>
    </w:p>
    <w:p>
      <w:pPr>
        <w:pStyle w:val="Heading2"/>
        <w:jc w:val="right"/>
        <w:bidi w:val="1"/>
      </w:pPr>
      <w:r>
        <w:rPr>
          <w:rFonts w:ascii="Arial" w:hAnsi="Arial"/>
          <w:b/>
          <w:color w:val="1F3B63"/>
          <w:sz w:val="28"/>
          <w:rFonts w:ascii="Arial" w:hAnsi="Arial" w:cs="Arial" w:eastAsia="Arial"/>
          <w:rtl w:val="1"/>
        </w:rPr>
        <w:t>١-١) بوّابات الحكم</w:t>
      </w:r>
    </w:p>
    <w:tbl>
      <w:tblPr>
        <w:tblStyle w:val="TableGrid"/>
        <w:tblW w:type="auto" w:w="0"/>
        <w:jc w:val="center"/>
        <w:tblLook w:firstColumn="1" w:firstRow="1" w:lastColumn="0" w:lastRow="0" w:noHBand="0" w:noVBand="1" w:val="04A0"/>
        <w:bidiVisual/>
      </w:tblPr>
      <w:tblGrid>
        <w:gridCol w:w="2550"/>
        <w:gridCol w:w="2550"/>
        <w:gridCol w:w="2550"/>
        <w:gridCol w:w="2550"/>
      </w:tblGrid>
      <w:tr>
        <w:tc>
          <w:tcPr>
            <w:tcW w:type="dxa" w:w="3118"/>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البوّابة</w:t>
            </w:r>
          </w:p>
        </w:tc>
        <w:tc>
          <w:tcPr>
            <w:tcW w:type="dxa" w:w="1814"/>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المطلوب</w:t>
            </w:r>
          </w:p>
        </w:tc>
        <w:tc>
          <w:tcPr>
            <w:tcW w:type="dxa" w:w="3572"/>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المقيس</w:t>
            </w:r>
          </w:p>
        </w:tc>
        <w:tc>
          <w:tcPr>
            <w:tcW w:type="dxa" w:w="1134"/>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الحالة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الدفع والدمج بلا فقد ولا Force</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نعم</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دفع عاديّ · قيد دمج ذو أبوَين · صفر ملفّ ساقط</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origin/develop = قيد الدمج</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تطابق حرفيّ</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8479d374238b7173… == …</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كلّ الحزم خضراء على قيد الدمج</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١١ بوّابة</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١١/١١ خضراء</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الهجرة على RC بلا حذف بيانات حقيقيّة</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نعم</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٥ هجرات · صفر حذف · صفر تكرار مانع</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RC المنشورة = CANDIDATE_SHA</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تطابق حرفيّ</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الإصدار المضمَّن 1.0.0+8479d374…</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نجاح الرحلات الجوهريّة</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كلّها</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الدخول · 360 · الحضور · التقارير · KPI · HR · الدليل</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قياس السماح/المنع بمستخدمين اصطناعيّين</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نعم</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منح/سحب/تدقيق/إعادة دخول — كلّها مقيسة</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تطابق بيانات RC غير الاصطناعيّة</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تطابق حرفيّ</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كلّ العدادات و٥ بصمات md5 متطابقة</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الإنتاج لم يُمسّ</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نعم</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md5 · PID · طابع الإقلاع · ٤٢ هجرة — كلّها مطابقة</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محقَّقة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 عيب مفتوح P0/P1/P2</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١ مفتوح (P2)</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ساقطة</w:t>
            </w:r>
          </w:p>
        </w:tc>
      </w:tr>
      <w:tr>
        <w:tc>
          <w:tcPr>
            <w:tcW w:type="dxa" w:w="311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 تسريب أو خرق نطاق</w:t>
            </w:r>
          </w:p>
        </w:tc>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w:t>
            </w:r>
          </w:p>
        </w:tc>
        <w:tc>
          <w:tcPr>
            <w:tcW w:type="dxa" w:w="357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١ تسريب مؤكَّد</w:t>
            </w:r>
          </w:p>
        </w:tc>
        <w:tc>
          <w:tcPr>
            <w:tcW w:type="dxa" w:w="113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ساقطة</w:t>
            </w:r>
          </w:p>
        </w:tc>
      </w:tr>
    </w:tbl>
    <w:p/>
    <w:p>
      <w:r>
        <w:br w:type="page"/>
      </w:r>
    </w:p>
    <w:p>
      <w:pPr>
        <w:pStyle w:val="Heading1"/>
        <w:jc w:val="right"/>
        <w:bidi w:val="1"/>
      </w:pPr>
      <w:r>
        <w:rPr>
          <w:rFonts w:ascii="Arial" w:hAnsi="Arial"/>
          <w:b/>
          <w:color w:val="1F3B63"/>
          <w:sz w:val="32"/>
          <w:rFonts w:ascii="Arial" w:hAnsi="Arial" w:cs="Arial" w:eastAsia="Arial"/>
          <w:rtl w:val="1"/>
        </w:rPr>
        <w:t>٢) الدفع والدمج</w:t>
      </w:r>
    </w:p>
    <w:tbl>
      <w:tblPr>
        <w:tblStyle w:val="TableGrid"/>
        <w:tblW w:type="auto" w:w="0"/>
        <w:jc w:val="center"/>
        <w:tblLook w:firstColumn="1" w:firstRow="1" w:lastColumn="0" w:lastRow="0" w:noHBand="0" w:noVBand="1" w:val="04A0"/>
        <w:bidiVisual/>
      </w:tblPr>
      <w:tblGrid>
        <w:gridCol w:w="5100"/>
        <w:gridCol w:w="5100"/>
      </w:tblGrid>
      <w:tr>
        <w:tc>
          <w:tcPr>
            <w:tcW w:type="dxa" w:w="2835"/>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البند</w:t>
            </w:r>
          </w:p>
        </w:tc>
        <w:tc>
          <w:tcPr>
            <w:tcW w:type="dxa" w:w="6803"/>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القيمة المقيسة</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رأس الفرع محلّيًّا وبعيدًا</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328d59e2287ca2b8c9a8d818d582f0d1dd95dd19 (متطابقان)</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أسلوب الدفع</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دفع عاديّ — لم يُستعمل --force ولا --force-with-lease</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قيود النَسَب فوق الأساس السابق 9595c01</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١٥ قيدًا (٧ منها بعد شيفرة المنتج المثبَّتة d937788، كلّها docs/test)</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الفارق بعد d937788</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١٩ ملفًّا — كلّها Ops/UAT عدا ملفَّي اختبار موثَّقَين · صفر شيفرة منتج</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قيد الدمج</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8479d374238b71731996ad73d20d1485701d2053</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أبوا قيد الدمج</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736b5c5 (develop السابق) + 328d59e (فرع العلاج)</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التعارضات</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 — لم تلزم أيّ وقفة تصنيف</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فارق الاتّحاد النهائيّ</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٦٤ ملفًّا · ٨٣٩٢ إضافة · ٢٩ حذفًا · صفر ملفّ ساقط</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الهجرات في شجرة الدمج</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٤٥ ملفًّا · صفر تكرار · طوابع تصاعديّة</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main و develop-canonical</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لم يتغيّرا</w:t>
            </w:r>
          </w:p>
        </w:tc>
      </w:tr>
      <w:tr>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الوسوم</w:t>
            </w:r>
          </w:p>
        </w:tc>
        <w:tc>
          <w:tcPr>
            <w:tcW w:type="dxa" w:w="680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 وسم جديد</w:t>
            </w:r>
          </w:p>
        </w:tc>
      </w:tr>
    </w:tbl>
    <w:p/>
    <w:p>
      <w:pPr>
        <w:pStyle w:val="Heading2"/>
        <w:jc w:val="right"/>
        <w:bidi w:val="1"/>
      </w:pPr>
      <w:r>
        <w:rPr>
          <w:rFonts w:ascii="Arial" w:hAnsi="Arial"/>
          <w:b/>
          <w:color w:val="1F3B63"/>
          <w:sz w:val="28"/>
          <w:rFonts w:ascii="Arial" w:hAnsi="Arial" w:cs="Arial" w:eastAsia="Arial"/>
          <w:rtl w:val="1"/>
        </w:rPr>
        <w:t>٢-١) بوّابات الاختبار الإحدى عشرة على قيد الدمج</w:t>
      </w:r>
    </w:p>
    <w:tbl>
      <w:tblPr>
        <w:tblStyle w:val="TableGrid"/>
        <w:tblW w:type="auto" w:w="0"/>
        <w:jc w:val="center"/>
        <w:tblLook w:firstColumn="1" w:firstRow="1" w:lastColumn="0" w:lastRow="0" w:noHBand="0" w:noVBand="1" w:val="04A0"/>
        <w:bidiVisual/>
      </w:tblPr>
      <w:tblGrid>
        <w:gridCol w:w="3400"/>
        <w:gridCol w:w="3400"/>
        <w:gridCol w:w="3400"/>
      </w:tblGrid>
      <w:tr>
        <w:tc>
          <w:tcPr>
            <w:tcW w:type="dxa" w:w="3969"/>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البوّابة</w:t>
            </w:r>
          </w:p>
        </w:tc>
        <w:tc>
          <w:tcPr>
            <w:tcW w:type="dxa" w:w="4252"/>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المقيس فعلًا</w:t>
            </w:r>
          </w:p>
        </w:tc>
        <w:tc>
          <w:tcPr>
            <w:tcW w:type="dxa" w:w="1417"/>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الحالة</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بناء الخلفيّة Release</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0 Error(s) · 4 Warning(s)</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الاختبارات الوحدويّة</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556 / 556</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التكامل — الجولة ١</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2174 / 2174 · ٩د ٣٢ث</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التكامل — الجولة ٢ (قواعد معزولة)</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2174 / 2174 · ١١د ٥٢ث</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المجموعة المرجعيّة P1/P2/P3</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163 / 163</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TypeScript --noEmit</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 مخرجات</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Vitest</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735 / 735</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Playwright</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47 / 47</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الهجرة على قاعدة فارغة</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٤٥ هجرة · Done.</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الهجرة على نسخة RC المأهولة</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٥ هجرات · Done.</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فحص الأسرار والملفّات غير المقصودة</w:t>
            </w:r>
          </w:p>
        </w:tc>
        <w:tc>
          <w:tcPr>
            <w:tcW w:type="dxa" w:w="425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bl>
    <w:p/>
    <w:p>
      <w:pPr>
        <w:spacing w:after="80"/>
        <w:jc w:val="right"/>
        <w:bidi w:val="1"/>
      </w:pPr>
      <w:r>
        <w:rPr>
          <w:rFonts w:ascii="Arial" w:hAnsi="Arial"/>
          <w:b w:val="0"/>
          <w:sz w:val="20"/>
          <w:rFonts w:ascii="Arial" w:hAnsi="Arial" w:cs="Arial" w:eastAsia="Arial"/>
          <w:rtl w:val="1"/>
        </w:rPr>
        <w:t>التزامًا بقاعدة «جولة خضراء واحدة ليست إثبات غياب»، شُغِّلت حزمة التكامل جولتين مستقلّتين على قواعد معزولة، بلا أيّ تشغيل متوازٍ على قاعدة فارغة واحدة، وبلا إعادة استعمال أيّ رقم من مرحلة TEST.</w:t>
      </w:r>
    </w:p>
    <w:p>
      <w:r>
        <w:br w:type="page"/>
      </w:r>
    </w:p>
    <w:p>
      <w:pPr>
        <w:pStyle w:val="Heading1"/>
        <w:jc w:val="right"/>
        <w:bidi w:val="1"/>
      </w:pPr>
      <w:r>
        <w:rPr>
          <w:rFonts w:ascii="Arial" w:hAnsi="Arial"/>
          <w:b/>
          <w:color w:val="1F3B63"/>
          <w:sz w:val="32"/>
          <w:rFonts w:ascii="Arial" w:hAnsi="Arial" w:cs="Arial" w:eastAsia="Arial"/>
          <w:rtl w:val="1"/>
        </w:rPr>
        <w:t>٣) هويّة RC والنشر</w:t>
      </w:r>
    </w:p>
    <w:tbl>
      <w:tblPr>
        <w:tblStyle w:val="TableGrid"/>
        <w:tblW w:type="auto" w:w="0"/>
        <w:jc w:val="center"/>
        <w:tblLook w:firstColumn="1" w:firstRow="1" w:lastColumn="0" w:lastRow="0" w:noHBand="0" w:noVBand="1" w:val="04A0"/>
        <w:bidiVisual/>
      </w:tblPr>
      <w:tblGrid>
        <w:gridCol w:w="3400"/>
        <w:gridCol w:w="3400"/>
        <w:gridCol w:w="3400"/>
      </w:tblGrid>
      <w:tr>
        <w:tc>
          <w:tcPr>
            <w:tcW w:type="dxa" w:w="1984"/>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المحور</w:t>
            </w:r>
          </w:p>
        </w:tc>
        <w:tc>
          <w:tcPr>
            <w:tcW w:type="dxa" w:w="3969"/>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RC (المقيس)</w:t>
            </w:r>
          </w:p>
        </w:tc>
        <w:tc>
          <w:tcPr>
            <w:tcW w:type="dxa" w:w="3685"/>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الإنتاج (للمقارنة)</w:t>
            </w:r>
          </w:p>
        </w:tc>
      </w:tr>
      <w:tr>
        <w:tc>
          <w:tcPr>
            <w:tcW w:type="dxa" w:w="198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الخدمة</w:t>
            </w:r>
          </w:p>
        </w:tc>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khubara-reporting-rc</w:t>
            </w:r>
          </w:p>
        </w:tc>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reporting-api</w:t>
            </w:r>
          </w:p>
        </w:tc>
      </w:tr>
      <w:tr>
        <w:tc>
          <w:tcPr>
            <w:tcW w:type="dxa" w:w="198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المنفذ</w:t>
            </w:r>
          </w:p>
        </w:tc>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5092</w:t>
            </w:r>
          </w:p>
        </w:tc>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5090</w:t>
            </w:r>
          </w:p>
        </w:tc>
      </w:tr>
      <w:tr>
        <w:tc>
          <w:tcPr>
            <w:tcW w:type="dxa" w:w="198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القاعدة</w:t>
            </w:r>
          </w:p>
        </w:tc>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reporting_rc</w:t>
            </w:r>
          </w:p>
        </w:tc>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reporting_prod</w:t>
            </w:r>
          </w:p>
        </w:tc>
      </w:tr>
      <w:tr>
        <w:tc>
          <w:tcPr>
            <w:tcW w:type="dxa" w:w="198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البيئة</w:t>
            </w:r>
          </w:p>
        </w:tc>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ReleaseCandidate</w:t>
            </w:r>
          </w:p>
        </w:tc>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Production</w:t>
            </w:r>
          </w:p>
        </w:tc>
      </w:tr>
      <w:tr>
        <w:tc>
          <w:tcPr>
            <w:tcW w:type="dxa" w:w="198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الجذر</w:t>
            </w:r>
          </w:p>
        </w:tc>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/opt/reporting-rc</w:t>
            </w:r>
          </w:p>
        </w:tc>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/opt/reporting</w:t>
            </w:r>
          </w:p>
        </w:tc>
      </w:tr>
      <w:tr>
        <w:tc>
          <w:tcPr>
            <w:tcW w:type="dxa" w:w="198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البريد</w:t>
            </w:r>
          </w:p>
        </w:tc>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DryRun</w:t>
            </w:r>
          </w:p>
        </w:tc>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Enabled</w:t>
            </w:r>
          </w:p>
        </w:tc>
      </w:tr>
      <w:tr>
        <w:tc>
          <w:tcPr>
            <w:tcW w:type="dxa" w:w="198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التذكيرات</w:t>
            </w:r>
          </w:p>
        </w:tc>
        <w:tc>
          <w:tcPr>
            <w:tcW w:type="dxa" w:w="3969"/>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false</w:t>
            </w:r>
          </w:p>
        </w:tc>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w:t>
            </w:r>
          </w:p>
        </w:tc>
      </w:tr>
    </w:tbl>
    <w:p/>
    <w:p>
      <w:pPr>
        <w:pStyle w:val="Heading2"/>
        <w:jc w:val="right"/>
        <w:bidi w:val="1"/>
      </w:pPr>
      <w:r>
        <w:rPr>
          <w:rFonts w:ascii="Arial" w:hAnsi="Arial"/>
          <w:b/>
          <w:color w:val="1F3B63"/>
          <w:sz w:val="28"/>
          <w:rFonts w:ascii="Arial" w:hAnsi="Arial" w:cs="Arial" w:eastAsia="Arial"/>
          <w:rtl w:val="1"/>
        </w:rPr>
        <w:t>٣-١) إثباتات النشر</w:t>
      </w:r>
    </w:p>
    <w:tbl>
      <w:tblPr>
        <w:tblStyle w:val="TableGrid"/>
        <w:tblW w:type="auto" w:w="0"/>
        <w:jc w:val="center"/>
        <w:tblLook w:firstColumn="1" w:firstRow="1" w:lastColumn="0" w:lastRow="0" w:noHBand="0" w:noVBand="1" w:val="04A0"/>
        <w:bidiVisual/>
      </w:tblPr>
      <w:tblGrid>
        <w:gridCol w:w="3400"/>
        <w:gridCol w:w="3400"/>
        <w:gridCol w:w="3400"/>
      </w:tblGrid>
      <w:tr>
        <w:tc>
          <w:tcPr>
            <w:tcW w:type="dxa" w:w="2268"/>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الإثبات</w:t>
            </w:r>
          </w:p>
        </w:tc>
        <w:tc>
          <w:tcPr>
            <w:tcW w:type="dxa" w:w="5953"/>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المقيس</w:t>
            </w:r>
          </w:p>
        </w:tc>
        <w:tc>
          <w:tcPr>
            <w:tcW w:type="dxa" w:w="1417"/>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الحالة</w:t>
            </w:r>
          </w:p>
        </w:tc>
      </w:tr>
      <w:tr>
        <w:tc>
          <w:tcPr>
            <w:tcW w:type="dxa" w:w="226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/health</w:t>
            </w:r>
          </w:p>
        </w:tc>
        <w:tc>
          <w:tcPr>
            <w:tcW w:type="dxa" w:w="595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200</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226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الإصدار المضمَّن</w:t>
            </w:r>
          </w:p>
        </w:tc>
        <w:tc>
          <w:tcPr>
            <w:tcW w:type="dxa" w:w="595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1.0.0+8479d374238b71731996ad73d20d1485701d2053</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226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بصمة الخلفيّة</w:t>
            </w:r>
          </w:p>
        </w:tc>
        <w:tc>
          <w:tcPr>
            <w:tcW w:type="dxa" w:w="595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md5 7f77bfbf434ed733f3295c12f4bd7414</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226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بصمة الواجهة</w:t>
            </w:r>
          </w:p>
        </w:tc>
        <w:tc>
          <w:tcPr>
            <w:tcW w:type="dxa" w:w="595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index-BjkQX4K1.js · md5 6731d83545be4bdc264512c1789172a5</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226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عدد الهجرات</w:t>
            </w:r>
          </w:p>
        </w:tc>
        <w:tc>
          <w:tcPr>
            <w:tcW w:type="dxa" w:w="595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42 ← 47 (٥ مطبَّقة · صفر معلَّقة)</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226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حلقة إعادة تشغيل</w:t>
            </w:r>
          </w:p>
        </w:tc>
        <w:tc>
          <w:tcPr>
            <w:tcW w:type="dxa" w:w="595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NRestarts=0 · running · MainPID 1579500</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2268"/>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أخطاء إقلاع غير مفسَّرة</w:t>
            </w:r>
          </w:p>
        </w:tc>
        <w:tc>
          <w:tcPr>
            <w:tcW w:type="dxa" w:w="5953"/>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صفر</w:t>
            </w:r>
          </w:p>
        </w:tc>
        <w:tc>
          <w:tcPr>
            <w:tcW w:type="dxa" w:w="1417"/>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bl>
    <w:p/>
    <w:p>
      <w:pPr>
        <w:spacing w:after="80"/>
        <w:jc w:val="right"/>
        <w:bidi w:val="1"/>
      </w:pPr>
      <w:r>
        <w:rPr>
          <w:rFonts w:ascii="Arial" w:hAnsi="Arial"/>
          <w:b w:val="0"/>
          <w:sz w:val="20"/>
          <w:rFonts w:ascii="Arial" w:hAnsi="Arial" w:cs="Arial" w:eastAsia="Arial"/>
          <w:rtl w:val="1"/>
        </w:rPr>
        <w:t>ملاحظة مقيسة: كانت أعلام Phase2 الأربعة غائبة عن ملفّ بيئة RC وقيمتها الافتراضيّة false، فكانت مسارات P1/P2/P3 تردّ 404. أُضيفت بعد نسخ احتياطيّ إلى /etc/khubara-reporting-rc.env.bak-p123rc-20260826 وما تزال مفعَّلة عمدًا، لأنّ تعطيلها يُبطِل تمثيل RC للمرشّح.</w:t>
      </w:r>
    </w:p>
    <w:p>
      <w:pPr>
        <w:pStyle w:val="Heading2"/>
        <w:jc w:val="right"/>
        <w:bidi w:val="1"/>
      </w:pPr>
      <w:r>
        <w:rPr>
          <w:rFonts w:ascii="Arial" w:hAnsi="Arial"/>
          <w:b/>
          <w:color w:val="1F3B63"/>
          <w:sz w:val="28"/>
          <w:rFonts w:ascii="Arial" w:hAnsi="Arial" w:cs="Arial" w:eastAsia="Arial"/>
          <w:rtl w:val="1"/>
        </w:rPr>
        <w:t>٣-٢) فحص ما قبل الهجرة على RC</w:t>
      </w:r>
    </w:p>
    <w:tbl>
      <w:tblPr>
        <w:tblStyle w:val="TableGrid"/>
        <w:tblW w:type="auto" w:w="0"/>
        <w:jc w:val="center"/>
        <w:tblLook w:firstColumn="1" w:firstRow="1" w:lastColumn="0" w:lastRow="0" w:noHBand="0" w:noVBand="1" w:val="04A0"/>
        <w:bidiVisual/>
      </w:tblPr>
      <w:tblGrid>
        <w:gridCol w:w="2550"/>
        <w:gridCol w:w="2550"/>
        <w:gridCol w:w="2550"/>
        <w:gridCol w:w="2550"/>
      </w:tblGrid>
      <w:tr>
        <w:tc>
          <w:tcPr>
            <w:tcW w:type="dxa" w:w="3685"/>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الفحص</w:t>
            </w:r>
          </w:p>
        </w:tc>
        <w:tc>
          <w:tcPr>
            <w:tcW w:type="dxa" w:w="1701"/>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المطلوب</w:t>
            </w:r>
          </w:p>
        </w:tc>
        <w:tc>
          <w:tcPr>
            <w:tcW w:type="dxa" w:w="1701"/>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المقيس</w:t>
            </w:r>
          </w:p>
        </w:tc>
        <w:tc>
          <w:tcPr>
            <w:tcW w:type="dxa" w:w="2551"/>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الحالة</w:t>
            </w:r>
          </w:p>
        </w:tc>
      </w:tr>
      <w:tr>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تكرار أسماء الإدارات</w:t>
            </w:r>
          </w:p>
        </w:tc>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0</w:t>
            </w:r>
          </w:p>
        </w:tc>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0</w:t>
            </w:r>
          </w:p>
        </w:tc>
        <w:tc>
          <w:tcPr>
            <w:tcW w:type="dxa" w:w="255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تكرار رموز الإدارات</w:t>
            </w:r>
          </w:p>
        </w:tc>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0</w:t>
            </w:r>
          </w:p>
        </w:tc>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0</w:t>
            </w:r>
          </w:p>
        </w:tc>
        <w:tc>
          <w:tcPr>
            <w:tcW w:type="dxa" w:w="255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r>
        <w:tc>
          <w:tcPr>
            <w:tcW w:type="dxa" w:w="368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تكرار أسماء الفرق داخل الإدارة</w:t>
            </w:r>
          </w:p>
        </w:tc>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0</w:t>
            </w:r>
          </w:p>
        </w:tc>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0</w:t>
            </w:r>
          </w:p>
        </w:tc>
        <w:tc>
          <w:tcPr>
            <w:tcW w:type="dxa" w:w="255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PASS</w:t>
            </w:r>
          </w:p>
        </w:tc>
      </w:tr>
    </w:tbl>
    <w:p/>
    <w:p>
      <w:pPr>
        <w:spacing w:after="80"/>
        <w:jc w:val="right"/>
        <w:bidi w:val="1"/>
      </w:pPr>
      <w:r>
        <w:rPr>
          <w:rFonts w:ascii="Arial" w:hAnsi="Arial"/>
          <w:b w:val="0"/>
          <w:sz w:val="20"/>
          <w:rFonts w:ascii="Arial" w:hAnsi="Arial" w:cs="Arial" w:eastAsia="Arial"/>
          <w:rtl w:val="1"/>
        </w:rPr>
        <w:t>لم يُحذَف ولم يُدمَج ولم يُعدَّل أيّ صفّ حقيقيّ على RC لتمرير فهرس التفرّد؛ الفحص كان قراءة بحتة.</w:t>
      </w:r>
    </w:p>
    <w:p>
      <w:r>
        <w:br w:type="page"/>
      </w:r>
    </w:p>
    <w:p>
      <w:pPr>
        <w:pStyle w:val="Heading1"/>
        <w:jc w:val="right"/>
        <w:bidi w:val="1"/>
      </w:pPr>
      <w:r>
        <w:rPr>
          <w:rFonts w:ascii="Arial" w:hAnsi="Arial"/>
          <w:b/>
          <w:color w:val="1F3B63"/>
          <w:sz w:val="32"/>
          <w:rFonts w:ascii="Arial" w:hAnsi="Arial" w:cs="Arial" w:eastAsia="Arial"/>
          <w:rtl w:val="1"/>
        </w:rPr>
        <w:t>٤) التحقّق الحيّ على RC — خلاصة السيناريوهات</w:t>
      </w:r>
    </w:p>
    <w:tbl>
      <w:tblPr>
        <w:tblStyle w:val="TableGrid"/>
        <w:tblW w:type="auto" w:w="0"/>
        <w:jc w:val="center"/>
        <w:tblLook w:firstColumn="1" w:firstRow="1" w:lastColumn="0" w:lastRow="0" w:noHBand="0" w:noVBand="1" w:val="04A0"/>
        <w:bidiVisual/>
      </w:tblPr>
      <w:tblGrid>
        <w:gridCol w:w="5100"/>
        <w:gridCol w:w="5100"/>
      </w:tblGrid>
      <w:tr>
        <w:tc>
          <w:tcPr>
            <w:tcW w:type="dxa" w:w="3402"/>
            <w:shd w:fill="DCE6F1"/>
          </w:tcPr>
          <w:p>
            <w:pPr>
              <w:jc w:val="center"/>
              <w:bidi w:val="1"/>
            </w:pPr>
            <w:r>
              <w:rPr>
                <w:rFonts w:ascii="Arial" w:hAnsi="Arial"/>
                <w:b/>
                <w:sz w:val="20"/>
                <w:rFonts w:ascii="Arial" w:hAnsi="Arial" w:cs="Arial" w:eastAsia="Arial"/>
                <w:rtl w:val="1"/>
              </w:rPr>
            </w:r>
            <w:r>
              <w:rPr>
                <w:rFonts w:ascii="Arial" w:hAnsi="Arial"/>
                <w:b/>
                <w:sz w:val="20"/>
                <w:rFonts w:ascii="Arial" w:hAnsi="Arial" w:cs="Arial" w:eastAsia="Arial"/>
                <w:rtl w:val="1"/>
              </w:rPr>
              <w:t>الحالة</w:t>
            </w:r>
          </w:p>
        </w:tc>
        <w:tc>
          <w:tcPr>
            <w:tcW w:type="dxa" w:w="2268"/>
            <w:shd w:fill="DCE6F1"/>
          </w:tcPr>
          <w:p>
            <w:pPr>
              <w:jc w:val="center"/>
              <w:bidi w:val="1"/>
            </w:pPr>
            <w:r>
              <w:rPr>
                <w:rFonts w:ascii="Arial" w:hAnsi="Arial"/>
                <w:b/>
                <w:sz w:val="20"/>
                <w:rFonts w:ascii="Arial" w:hAnsi="Arial" w:cs="Arial" w:eastAsia="Arial"/>
                <w:rtl w:val="1"/>
              </w:rPr>
            </w:r>
            <w:r>
              <w:rPr>
                <w:rFonts w:ascii="Arial" w:hAnsi="Arial"/>
                <w:b/>
                <w:sz w:val="20"/>
                <w:rFonts w:ascii="Arial" w:hAnsi="Arial" w:cs="Arial" w:eastAsia="Arial"/>
                <w:rtl w:val="1"/>
              </w:rPr>
              <w:t>العدد</w:t>
            </w:r>
          </w:p>
        </w:tc>
      </w:tr>
      <w:tr>
        <w:tc>
          <w:tcPr>
            <w:tcW w:type="dxa" w:w="3402"/>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PASS</w:t>
            </w:r>
          </w:p>
        </w:tc>
        <w:tc>
          <w:tcPr>
            <w:tcW w:type="dxa" w:w="2268"/>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88</w:t>
            </w:r>
          </w:p>
        </w:tc>
      </w:tr>
      <w:tr>
        <w:tc>
          <w:tcPr>
            <w:tcW w:type="dxa" w:w="3402"/>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FAIL</w:t>
            </w:r>
          </w:p>
        </w:tc>
        <w:tc>
          <w:tcPr>
            <w:tcW w:type="dxa" w:w="2268"/>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1</w:t>
            </w:r>
          </w:p>
        </w:tc>
      </w:tr>
      <w:tr>
        <w:tc>
          <w:tcPr>
            <w:tcW w:type="dxa" w:w="3402"/>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SUPERSEDED</w:t>
            </w:r>
          </w:p>
        </w:tc>
        <w:tc>
          <w:tcPr>
            <w:tcW w:type="dxa" w:w="2268"/>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2</w:t>
            </w:r>
          </w:p>
        </w:tc>
      </w:tr>
      <w:tr>
        <w:tc>
          <w:tcPr>
            <w:tcW w:type="dxa" w:w="3402"/>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الإجماليّ</w:t>
            </w:r>
          </w:p>
        </w:tc>
        <w:tc>
          <w:tcPr>
            <w:tcW w:type="dxa" w:w="2268"/>
          </w:tcPr>
          <w:p>
            <w:pPr>
              <w:jc w:val="right"/>
              <w:bidi w:val="1"/>
            </w:pPr>
            <w:r>
              <w:rPr>
                <w:rFonts w:ascii="Arial" w:hAnsi="Arial"/>
                <w:b w:val="0"/>
                <w:sz w:val="20"/>
                <w:rFonts w:ascii="Arial" w:hAnsi="Arial" w:cs="Arial" w:eastAsia="Arial"/>
                <w:rtl w:val="1"/>
              </w:rPr>
            </w:r>
            <w:r>
              <w:rPr>
                <w:rFonts w:ascii="Arial" w:hAnsi="Arial"/>
                <w:b w:val="0"/>
                <w:sz w:val="20"/>
                <w:rFonts w:ascii="Arial" w:hAnsi="Arial" w:cs="Arial" w:eastAsia="Arial"/>
                <w:rtl w:val="1"/>
              </w:rPr>
              <w:t>91</w:t>
            </w:r>
          </w:p>
        </w:tc>
      </w:tr>
    </w:tbl>
    <w:p/>
    <w:p>
      <w:pPr>
        <w:pStyle w:val="Heading2"/>
        <w:jc w:val="right"/>
        <w:bidi w:val="1"/>
      </w:pPr>
      <w:r>
        <w:rPr>
          <w:rFonts w:ascii="Arial" w:hAnsi="Arial"/>
          <w:b/>
          <w:color w:val="1F3B63"/>
          <w:sz w:val="28"/>
          <w:rFonts w:ascii="Arial" w:hAnsi="Arial" w:cs="Arial" w:eastAsia="Arial"/>
          <w:rtl w:val="1"/>
        </w:rPr>
        <w:t>٤-١) عيّنة تمثيليّة من النتائج المقيسة</w:t>
      </w:r>
    </w:p>
    <w:tbl>
      <w:tblPr>
        <w:tblStyle w:val="TableGrid"/>
        <w:tblW w:type="auto" w:w="0"/>
        <w:jc w:val="center"/>
        <w:tblLook w:firstColumn="1" w:firstRow="1" w:lastColumn="0" w:lastRow="0" w:noHBand="0" w:noVBand="1" w:val="04A0"/>
        <w:bidiVisual/>
      </w:tblPr>
      <w:tblGrid>
        <w:gridCol w:w="2040"/>
        <w:gridCol w:w="2040"/>
        <w:gridCol w:w="2040"/>
        <w:gridCol w:w="2040"/>
        <w:gridCol w:w="2040"/>
      </w:tblGrid>
      <w:tr>
        <w:tc>
          <w:tcPr>
            <w:tcW w:type="dxa" w:w="1701"/>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المعرّف</w:t>
            </w:r>
          </w:p>
        </w:tc>
        <w:tc>
          <w:tcPr>
            <w:tcW w:type="dxa" w:w="2381"/>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الوصف</w:t>
            </w:r>
          </w:p>
        </w:tc>
        <w:tc>
          <w:tcPr>
            <w:tcW w:type="dxa" w:w="1928"/>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المتوقَّع</w:t>
            </w:r>
          </w:p>
        </w:tc>
        <w:tc>
          <w:tcPr>
            <w:tcW w:type="dxa" w:w="2948"/>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المقيس</w:t>
            </w:r>
          </w:p>
        </w:tc>
        <w:tc>
          <w:tcPr>
            <w:tcW w:type="dxa" w:w="907"/>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الحالة</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S-AUTH-rc-admin</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تسجيل دخول rc-admin</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accessToken</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S-PERM-DENY-rc-admin</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HR قبل المنح (Admin)</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منع افتراضيّ</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S-PERM-DENY-rc-hr</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HR قبل المنح (HR)</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منع افتراضيّ</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S-PERM-DENY-rc-mgr</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HR قبل المنح (Manager)</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منع افتراضيّ</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S-PERM-DENY-rc-emp</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HR قبل المنح (Employee)</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منع افتراضيّ</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S-DIR-UNIQ-NAME</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تكرار اسم إدارة</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409 + ProblemDetails</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409 | ct=application/problem+json; charset=utf-8</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S-DIR-UNIQ-CODE</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تكرار رمز إدارة</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409 + ProblemDetails</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409</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S-DIR-UNIQ-TEAM</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تكرار اسم فريق داخل الإدارة</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409 + ProblemDetails</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409</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S-PERM-GRANT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منح المفاتيح الأدنى لـrc-hr</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200/204</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S-PERM-READBACK</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قراءة صلاحيات rc-hr</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المفتاحان فقط</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perms=['Attendance.Review', 'HrOperations.Vie</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S-PERM-OLDTOKEN</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الرمز القديم بعد المنح</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حتّى إعادة الدخول</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S-PERM-ALLOW</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HR بعد إعادة الدخول</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S-PERM-EXPORT-DENY</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تصدير HR بلا مفتاح التصدير</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(فصل المفاتيح)</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S-PERM-UNAUTH</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HR لموظّف بلا مفاتيح</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S-PERM-REVOKE-EFFECT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HR بعد السحب وإعادة الدخول</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S-PERM-REVOKE-READBACK</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قراءة الصلاحيات بعد السحب</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قائمة فارغة</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perms=[]</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S-ATT-DRAFT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إنشاء مسودّة واقعة (Late)</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200/201 + Draft</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status=Draft</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S-ATT-DRAFT-HIDDEN</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المسودّة مخفيّة عن الموظّف</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غير مدرجة</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items=1 seen=True</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FAIL</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S-ATT-DRAFT-DIRECT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وصول مباشر للمسودّة من الموظّف</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403/404</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404</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S-ATT-SUBMIT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إرسال البلاغ</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AwaitingEmployee</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status=AwaitingEmployee</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S-ATT-ACK</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إقرار الموظّف</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AwaitingHr</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status=AwaitingHr</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S-ATT-HRREVIEW-DENY</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مراجعة HR من موظّف بلا مفتاح</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S-ATT-HRREVIEW</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تأكيد HR بمفتاح Attendance.Review</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Confirmed</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status=Confirmed</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S-ATT-CLOSE</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إغلاق الواقعة</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Closed</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status=Closed</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S-ATT-EVENTS</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سجلّ أحداث الواقعة</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 أحداث</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events=7</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S-ATT-DETAIL-EMP</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تفاصيل الواقعة للموظّف</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بلا hrNote</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keys_hrNote=False</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S-IDOR-ATT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موظّف آخر يطلب الواقعة</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403/404</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404</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S-360-ME</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ملفّ 360 الشخصيّ</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S-360-IDOR</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ملفّ 360 لموظّف آخر</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403/404</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404</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S-360-MGR</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ملفّ 360 لمرؤوس من المدير</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S-CHK-MANAGE-DENY</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تحرير بند الالتزام بلا مفتاح</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S-GOV-DENY</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governance-summary من مدير</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S-PERM-READ-DENY</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قراءة صلاحيات من موظّف</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S-AUDIT-PERM2</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سجلّ التدقيق /api/audit-logs — مدير نظام</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قيود تغيير الصلاحيّات</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200 · user.permissions.changed ×3 (before/after/gra</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S-AUDIT-DENY</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سجلّ التدقيق من موظّف</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HTTP 403</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S-KPI-AGG2</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تجميع KPI بمعاملات صحيحة (granularity=Monthl</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مجموعة مُجمَّعة</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 xml:space="preserve">HTTP 200 · granularity=Monthly · periodLabel=أغسطس 2026 </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S-UI-MGR-NOGOV</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لوحة المدير لا تستدعي governance-summary</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صفر نداء</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57 نداء API ملتقَطًا · gov=[]</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S-PROD-UNTOUCHED</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الإنتاج لم يُمسّ</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بصمة مطابقة قبل/بعد</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 xml:space="preserve">md5=ddf9598c0bf00f821a0aefe0c6cc1975 · mtime=2026-08-18 </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S-RC-RECON</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تطابق بيانات RC غير الاصطناعيّة قبل/بعد</w:t>
            </w:r>
          </w:p>
        </w:tc>
        <w:tc>
          <w:tcPr>
            <w:tcW w:type="dxa" w:w="192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تطابق حرفيّ</w:t>
            </w:r>
          </w:p>
        </w:tc>
        <w:tc>
          <w:tcPr>
            <w:tcW w:type="dxa" w:w="2948"/>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كلّ العدادات والبصمات الخمس متطابقة حرفيًّا في BEFORE/AF</w:t>
            </w:r>
          </w:p>
        </w:tc>
        <w:tc>
          <w:tcPr>
            <w:tcW w:type="dxa" w:w="90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bl>
    <w:p/>
    <w:p>
      <w:r>
        <w:br w:type="page"/>
      </w:r>
    </w:p>
    <w:p>
      <w:pPr>
        <w:pStyle w:val="Heading1"/>
        <w:jc w:val="right"/>
        <w:bidi w:val="1"/>
      </w:pPr>
      <w:r>
        <w:rPr>
          <w:rFonts w:ascii="Arial" w:hAnsi="Arial"/>
          <w:b/>
          <w:color w:val="1F3B63"/>
          <w:sz w:val="32"/>
          <w:rFonts w:ascii="Arial" w:hAnsi="Arial" w:cs="Arial" w:eastAsia="Arial"/>
          <w:rtl w:val="1"/>
        </w:rPr>
        <w:t>٥) العيب المفتوح</w:t>
      </w:r>
    </w:p>
    <w:p>
      <w:pPr>
        <w:spacing w:after="80"/>
        <w:jc w:val="right"/>
        <w:bidi w:val="1"/>
      </w:pPr>
      <w:r>
        <w:rPr>
          <w:rFonts w:ascii="Arial" w:hAnsi="Arial"/>
          <w:b/>
          <w:color w:val="B01C1C"/>
          <w:sz w:val="26"/>
          <w:rFonts w:ascii="Arial" w:hAnsi="Arial" w:cs="Arial" w:eastAsia="Arial"/>
          <w:rtl w:val="1"/>
        </w:rPr>
        <w:t>DEF-P123-RC-001 — شدّة P2 — إفشاء معلومات وخرق نطاق</w:t>
      </w:r>
    </w:p>
    <w:tbl>
      <w:tblPr>
        <w:tblStyle w:val="TableGrid"/>
        <w:tblW w:type="auto" w:w="0"/>
        <w:jc w:val="center"/>
        <w:tblLook w:firstColumn="1" w:firstRow="1" w:lastColumn="0" w:lastRow="0" w:noHBand="0" w:noVBand="1" w:val="04A0"/>
        <w:bidiVisual/>
      </w:tblPr>
      <w:tblGrid>
        <w:gridCol w:w="5100"/>
        <w:gridCol w:w="5100"/>
      </w:tblGrid>
      <w:tr>
        <w:tc>
          <w:tcPr>
            <w:tcW w:type="dxa" w:w="1814"/>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البند</w:t>
            </w:r>
          </w:p>
        </w:tc>
        <w:tc>
          <w:tcPr>
            <w:tcW w:type="dxa" w:w="7824"/>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التفصيل</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العنوان</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قائمة GET /api/attendance تُسرِّب واقعة حضور في حالة Draft إلى موضوعها قبل الإرسال</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السيناريو</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S-ATT-DRAFT-HIDDEN</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المتوقَّع</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ألّا تظهر الواقعة السابقة للإرسال في قائمة الموظّف الموضوع، اتّساقًا مع 404 في مسار التفاصيل</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المقيس</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HTTP 200 · items=1 · seen=True — عاد الصفّ كاملًا: status=Draft · typeCode=Late · incidentDate=2026-08-23 · durationMinutes=30 · ageingDays=4 · nextActorAr</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الاتّساق الداخليّ</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GET /api/attendance/{id} للمستخدم نفسه ردّ 404 صحيحًا ⇒ سطح القائمة يناقض سطح التفاصيل</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نطاق التسريب</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الموضوع نفسه فقط. موظّف غير ذي صلة لم يرَ الواقعة (leaked=False)</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السبب الجذريّ</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AttendanceService.BuildScopedQueryAsync:764-781 تبني النطاق بشرط الملكيّة/النطاق فقط وتُسقِط استثناء ما قبل الإرسال الذي يفرضه AttendanceAccess.CanViewIncident:70 ويطبّقه Employee360Service:496-497 و687-688</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فجوة التغطية</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لا اختبار تكامل يمسّ هذا المسار ⇒ 2174/2174 خضراء في جولتين رغم العيب</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الأثر</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يُسقِط بوّابتَي «صفر عيب P0/P1/P2» و«صفر تسريب أو خرق نطاق» ⇒ يمنع الترقية إلى الإنتاج</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الدليل</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evidence/repro-draft-leak.json · evidence/repro-draft-leak.py</w:t>
            </w:r>
          </w:p>
        </w:tc>
      </w:tr>
      <w:tr>
        <w:tc>
          <w:tcPr>
            <w:tcW w:type="dxa" w:w="181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الحالة</w:t>
            </w:r>
          </w:p>
        </w:tc>
        <w:tc>
          <w:tcPr>
            <w:tcW w:type="dxa" w:w="7824"/>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مفتوح</w:t>
            </w:r>
          </w:p>
        </w:tc>
      </w:tr>
    </w:tbl>
    <w:p/>
    <w:p>
      <w:pPr>
        <w:pStyle w:val="Heading2"/>
        <w:jc w:val="right"/>
        <w:bidi w:val="1"/>
      </w:pPr>
      <w:r>
        <w:rPr>
          <w:rFonts w:ascii="Arial" w:hAnsi="Arial"/>
          <w:b/>
          <w:color w:val="1F3B63"/>
          <w:sz w:val="28"/>
          <w:rFonts w:ascii="Arial" w:hAnsi="Arial" w:cs="Arial" w:eastAsia="Arial"/>
          <w:rtl w:val="1"/>
        </w:rPr>
        <w:t>٥-١) ملاحظات أُسقِطت بوصفها غير عيوب</w:t>
      </w:r>
    </w:p>
    <w:tbl>
      <w:tblPr>
        <w:tblStyle w:val="TableGrid"/>
        <w:tblW w:type="auto" w:w="0"/>
        <w:jc w:val="center"/>
        <w:tblLook w:firstColumn="1" w:firstRow="1" w:lastColumn="0" w:lastRow="0" w:noHBand="0" w:noVBand="1" w:val="04A0"/>
        <w:bidiVisual/>
      </w:tblPr>
      <w:tblGrid>
        <w:gridCol w:w="3400"/>
        <w:gridCol w:w="3400"/>
        <w:gridCol w:w="3400"/>
      </w:tblGrid>
      <w:tr>
        <w:tc>
          <w:tcPr>
            <w:tcW w:type="dxa" w:w="1701"/>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المعرّف</w:t>
            </w:r>
          </w:p>
        </w:tc>
        <w:tc>
          <w:tcPr>
            <w:tcW w:type="dxa" w:w="2835"/>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الملاحظة</w:t>
            </w:r>
          </w:p>
        </w:tc>
        <w:tc>
          <w:tcPr>
            <w:tcW w:type="dxa" w:w="5102"/>
            <w:shd w:fill="DCE6F1"/>
          </w:tcPr>
          <w:p>
            <w:pPr>
              <w:jc w:val="center"/>
              <w:bidi w:val="1"/>
            </w:pPr>
            <w:r>
              <w:rPr>
                <w:rFonts w:ascii="Arial" w:hAnsi="Arial"/>
                <w:b/>
                <w:sz w:val="18"/>
                <w:rFonts w:ascii="Arial" w:hAnsi="Arial" w:cs="Arial" w:eastAsia="Arial"/>
                <w:rtl w:val="1"/>
              </w:rPr>
            </w:r>
            <w:r>
              <w:rPr>
                <w:rFonts w:ascii="Arial" w:hAnsi="Arial"/>
                <w:b/>
                <w:sz w:val="18"/>
                <w:rFonts w:ascii="Arial" w:hAnsi="Arial" w:cs="Arial" w:eastAsia="Arial"/>
                <w:rtl w:val="1"/>
              </w:rPr>
              <w:t>لماذا ليست عيبًا</w:t>
            </w:r>
          </w:p>
        </w:tc>
      </w:tr>
      <w:tr>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OBS-P123-RC-002</w:t>
            </w:r>
          </w:p>
        </w:tc>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ظهور /app/governance/escalations لدى الموظّف</w:t>
            </w:r>
          </w:p>
        </w:tc>
        <w:tc>
          <w:tcPr>
            <w:tcW w:type="dxa" w:w="510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تصعيد فرديّ مقصود — GOVERNANCE_ESCALATION_ROLES تشمل Employee (App.tsx:236)</w:t>
            </w:r>
          </w:p>
        </w:tc>
      </w:tr>
      <w:tr>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OBS-P123-RC-003</w:t>
            </w:r>
          </w:p>
        </w:tc>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مسار /app/hr-operations بلا بوّابة أدوار</w:t>
            </w:r>
          </w:p>
        </w:tc>
        <w:tc>
          <w:tcPr>
            <w:tcW w:type="dxa" w:w="510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قرار موثَّق بتعليق في الشيفرة (App.tsx:210-213): المفتاح تخويل صريح لا يمنحه أيّ دور ضمنًا، والخادم يردّ 403/404</w:t>
            </w:r>
          </w:p>
        </w:tc>
      </w:tr>
      <w:tr>
        <w:tc>
          <w:tcPr>
            <w:tcW w:type="dxa" w:w="1701"/>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OBS-P123-RC-004</w:t>
            </w:r>
          </w:p>
        </w:tc>
        <w:tc>
          <w:tcPr>
            <w:tcW w:type="dxa" w:w="2835"/>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أخطاء SignalR في وحدة التحكّم</w:t>
            </w:r>
          </w:p>
        </w:tc>
        <w:tc>
          <w:tcPr>
            <w:tcW w:type="dxa" w:w="5102"/>
          </w:tcPr>
          <w:p>
            <w:pPr>
              <w:jc w:val="right"/>
              <w:bidi w:val="1"/>
            </w:pPr>
            <w:r>
              <w:rPr>
                <w:rFonts w:ascii="Arial" w:hAnsi="Arial"/>
                <w:b w:val="0"/>
                <w:sz w:val="18"/>
                <w:rFonts w:ascii="Arial" w:hAnsi="Arial" w:cs="Arial" w:eastAsia="Arial"/>
                <w:rtl w:val="1"/>
              </w:rPr>
            </w:r>
            <w:r>
              <w:rPr>
                <w:rFonts w:ascii="Arial" w:hAnsi="Arial"/>
                <w:b w:val="0"/>
                <w:sz w:val="18"/>
                <w:rFonts w:ascii="Arial" w:hAnsi="Arial" w:cs="Arial" w:eastAsia="Arial"/>
                <w:rtl w:val="1"/>
              </w:rPr>
              <w:t>من وسيط التحقّق المحلّيّ الذي لا يدعم ترقية WebSocket؛ nginx الخاصّ بـRC يحوي كتلة /hubs/ كاملة الترقية</w:t>
            </w:r>
          </w:p>
        </w:tc>
      </w:tr>
    </w:tbl>
    <w:p/>
    <w:p>
      <w:r>
        <w:br w:type="page"/>
      </w:r>
    </w:p>
    <w:p>
      <w:pPr>
        <w:pStyle w:val="Heading1"/>
        <w:jc w:val="right"/>
        <w:bidi w:val="1"/>
      </w:pPr>
      <w:r>
        <w:rPr>
          <w:rFonts w:ascii="Arial" w:hAnsi="Arial"/>
          <w:b/>
          <w:color w:val="1F3B63"/>
          <w:sz w:val="32"/>
          <w:rFonts w:ascii="Arial" w:hAnsi="Arial" w:cs="Arial" w:eastAsia="Arial"/>
          <w:rtl w:val="1"/>
        </w:rPr>
        <w:t>٦) مصفوفة الصلاحيّات المقيسة</w:t>
      </w:r>
    </w:p>
    <w:p>
      <w:pPr>
        <w:spacing w:after="80"/>
        <w:jc w:val="right"/>
        <w:bidi w:val="1"/>
      </w:pPr>
      <w:r>
        <w:rPr>
          <w:rFonts w:ascii="Arial" w:hAnsi="Arial"/>
          <w:b w:val="0"/>
          <w:sz w:val="20"/>
          <w:rFonts w:ascii="Arial" w:hAnsi="Arial" w:cs="Arial" w:eastAsia="Arial"/>
          <w:rtl w:val="1"/>
        </w:rPr>
        <w:t>الحالة الافتراضيّة بعد النشر صمدت: منع بالافتراض، ولا يرث Admin أيّ مفتاح ضمنًا، ولا يحصل أيّ دور مخزَّن على كلّ المفاتيح تلقائيًّا. قِيست الدورة كاملةً عبر مستخدمين اصطناعيّين على نطاق p123.rc.test فقط، ولم يُمنَح أيّ مفتاح لأيّ مستخدم حقيقيّ.</w:t>
      </w:r>
    </w:p>
    <w:tbl>
      <w:tblPr>
        <w:tblStyle w:val="TableGrid"/>
        <w:tblW w:type="auto" w:w="0"/>
        <w:jc w:val="center"/>
        <w:tblLook w:firstColumn="1" w:firstRow="1" w:lastColumn="0" w:lastRow="0" w:noHBand="0" w:noVBand="1" w:val="04A0"/>
        <w:bidiVisual/>
      </w:tblPr>
      <w:tblGrid>
        <w:gridCol w:w="1700"/>
        <w:gridCol w:w="1700"/>
        <w:gridCol w:w="1700"/>
        <w:gridCol w:w="1700"/>
        <w:gridCol w:w="1700"/>
        <w:gridCol w:w="1700"/>
      </w:tblGrid>
      <w:tr>
        <w:tc>
          <w:tcPr>
            <w:tcW w:type="dxa" w:w="1587"/>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المستخدم (الدور)</w:t>
            </w:r>
          </w:p>
        </w:tc>
        <w:tc>
          <w:tcPr>
            <w:tcW w:type="dxa" w:w="1701"/>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المفتاح</w:t>
            </w:r>
          </w:p>
        </w:tc>
        <w:tc>
          <w:tcPr>
            <w:tcW w:type="dxa" w:w="1077"/>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ممنوح؟</w:t>
            </w:r>
          </w:p>
        </w:tc>
        <w:tc>
          <w:tcPr>
            <w:tcW w:type="dxa" w:w="2041"/>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نقطة النهاية</w:t>
            </w:r>
          </w:p>
        </w:tc>
        <w:tc>
          <w:tcPr>
            <w:tcW w:type="dxa" w:w="2381"/>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المقيس</w:t>
            </w:r>
          </w:p>
        </w:tc>
        <w:tc>
          <w:tcPr>
            <w:tcW w:type="dxa" w:w="850"/>
            <w:shd w:fill="DCE6F1"/>
          </w:tcPr>
          <w:p>
            <w:pPr>
              <w:jc w:val="center"/>
              <w:bidi w:val="1"/>
            </w:pPr>
            <w:r>
              <w:rPr>
                <w:rFonts w:ascii="Arial" w:hAnsi="Arial"/>
                <w:b/>
                <w:sz w:val="15"/>
                <w:rFonts w:ascii="Arial" w:hAnsi="Arial" w:cs="Arial" w:eastAsia="Arial"/>
                <w:rtl w:val="1"/>
              </w:rPr>
            </w:r>
            <w:r>
              <w:rPr>
                <w:rFonts w:ascii="Arial" w:hAnsi="Arial"/>
                <w:b/>
                <w:sz w:val="15"/>
                <w:rFonts w:ascii="Arial" w:hAnsi="Arial" w:cs="Arial" w:eastAsia="Arial"/>
                <w:rtl w:val="1"/>
              </w:rPr>
              <w:t>الحالة</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rc-admin (Admin)</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/api/hr-operations/dashboard</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/api/hr-operations/dashboard</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rc-mgr (Manager)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/api/hr-operations/dashboard</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rc-emp (Employee)</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/api/hr-operations/dashboard</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منح المفتاحين</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نعم</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PUT /api/directory/users/{id}/permissions</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قراءة راجعة = ['Attendance.Review','HrOperations.View']</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نعم (رمز قديم)</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.../dashboard</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 المطالبات داخل الرمز</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نعم (بعد إعادة الدخول)</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.../dashboard</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نعم</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/api/hr-operations/queue</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HrOperations.Export</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/api/hr-operations/export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 فصل المفاتيح</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Attendance.Review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نعم</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POST /api/attendance/{id}/hr-review</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Confirmed</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rc-emp (Employee)</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Attendance.Review</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POST /api/attendance/{id}/hr-review</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rc-emp (Employee)</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EmployeeChecklist.Manage</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تحرير بند قائمة الالتزام</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rc-emp (Employee)</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قراءة صلاحيّات الغير</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.../permissions</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rc-mgr (Manager)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ملخّص الحوكمة</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/api/reports/governance-summary</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rc-emp (Employee)</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سجلّ التدقيق</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/api/audit-logs</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rc-admin (Admin)</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سجلّ التدقيق</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بالدور</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GET /api/audit-logs</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200 · user.permissions.changed ×3</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rc-hr (HR)</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كلّ المفاتيح</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سُحِبت</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PUT .../permissions {[]} + إعادة دخول</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403 · perms=[]</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r>
        <w:tc>
          <w:tcPr>
            <w:tcW w:type="dxa" w:w="158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أيّ مستخدم حقيقيّ</w:t>
            </w:r>
          </w:p>
        </w:tc>
        <w:tc>
          <w:tcPr>
            <w:tcW w:type="dxa" w:w="170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كلّ المفاتيح الإحدى عشرة</w:t>
            </w:r>
          </w:p>
        </w:tc>
        <w:tc>
          <w:tcPr>
            <w:tcW w:type="dxa" w:w="1077"/>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لا</w:t>
            </w:r>
          </w:p>
        </w:tc>
        <w:tc>
          <w:tcPr>
            <w:tcW w:type="dxa" w:w="204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w:t>
            </w:r>
          </w:p>
        </w:tc>
        <w:tc>
          <w:tcPr>
            <w:tcW w:type="dxa" w:w="2381"/>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userclaims_perm_nonsynth = 0 قبل وبعد</w:t>
            </w:r>
          </w:p>
        </w:tc>
        <w:tc>
          <w:tcPr>
            <w:tcW w:type="dxa" w:w="850"/>
          </w:tcPr>
          <w:p>
            <w:pPr>
              <w:jc w:val="right"/>
              <w:bidi w:val="1"/>
            </w:pPr>
            <w:r>
              <w:rPr>
                <w:rFonts w:ascii="Arial" w:hAnsi="Arial"/>
                <w:b w:val="0"/>
                <w:sz w:val="15"/>
                <w:rFonts w:ascii="Arial" w:hAnsi="Arial" w:cs="Arial" w:eastAsia="Arial"/>
                <w:rtl w:val="1"/>
              </w:rPr>
            </w:r>
            <w:r>
              <w:rPr>
                <w:rFonts w:ascii="Arial" w:hAnsi="Arial"/>
                <w:b w:val="0"/>
                <w:sz w:val="15"/>
                <w:rFonts w:ascii="Arial" w:hAnsi="Arial" w:cs="Arial" w:eastAsia="Arial"/>
                <w:rtl w:val="1"/>
              </w:rPr>
              <w:t>PASS</w:t>
            </w:r>
          </w:p>
        </w:tc>
      </w:tr>
    </w:tbl>
    <w:p/>
    <w:p>
      <w:r>
        <w:br w:type="page"/>
      </w:r>
    </w:p>
    <w:p>
      <w:pPr>
        <w:pStyle w:val="Heading1"/>
        <w:jc w:val="right"/>
        <w:bidi w:val="1"/>
      </w:pPr>
      <w:r>
        <w:rPr>
          <w:rFonts w:ascii="Arial" w:hAnsi="Arial"/>
          <w:b/>
          <w:color w:val="1F3B63"/>
          <w:sz w:val="32"/>
          <w:rFonts w:ascii="Arial" w:hAnsi="Arial" w:cs="Arial" w:eastAsia="Arial"/>
          <w:rtl w:val="1"/>
        </w:rPr>
        <w:t>٧) لقطات الأدوار والمقاسات</w:t>
      </w:r>
    </w:p>
    <w:p>
      <w:pPr>
        <w:spacing w:after="80"/>
        <w:jc w:val="right"/>
        <w:bidi w:val="1"/>
      </w:pPr>
      <w:r>
        <w:rPr>
          <w:rFonts w:ascii="Arial" w:hAnsi="Arial"/>
          <w:b w:val="0"/>
          <w:sz w:val="20"/>
          <w:rFonts w:ascii="Arial" w:hAnsi="Arial" w:cs="Arial" w:eastAsia="Arial"/>
          <w:rtl w:val="1"/>
        </w:rPr>
        <w:t>التُقِطت من حزمة RC المنشورة نفسها (متحقَّق من بصمتها بايتًا ببايت) وهي تخاطب واجهة RC البرمجيّة الحيّة. كلّ اللقطات dir=rtl وبلا تمرير أفقيّ عند 390 و768 و1440 بكسل.</w:t>
      </w:r>
    </w:p>
    <w:p>
      <w:pPr>
        <w:pStyle w:val="Heading2"/>
        <w:jc w:val="right"/>
        <w:bidi w:val="1"/>
      </w:pPr>
      <w:r>
        <w:rPr>
          <w:rFonts w:ascii="Arial" w:hAnsi="Arial"/>
          <w:b/>
          <w:color w:val="1F3B63"/>
          <w:sz w:val="28"/>
          <w:rFonts w:ascii="Arial" w:hAnsi="Arial" w:cs="Arial" w:eastAsia="Arial"/>
          <w:rtl w:val="1"/>
        </w:rPr>
        <w:t>مدير النظام (Admin) — ٨ عناصر تنقّل</w:t>
      </w:r>
    </w:p>
    <w:p>
      <w:pPr>
        <w:spacing w:after="80"/>
        <w:jc w:val="right"/>
        <w:bidi w:val="1"/>
      </w:pPr>
      <w:r>
        <w:rPr>
          <w:rFonts w:ascii="Arial" w:hAnsi="Arial"/>
          <w:b/>
          <w:sz w:val="18"/>
          <w:rFonts w:ascii="Arial" w:hAnsi="Arial" w:cs="Arial" w:eastAsia="Arial"/>
          <w:rtl w:val="1"/>
        </w:rPr>
        <w:t>admin @ 1440px — dir=rtl · بلا تمرير أفقيّ</w:t>
      </w:r>
    </w:p>
    <w:p>
      <w:pPr>
        <w:jc w:val="center"/>
      </w:pPr>
      <w:r>
        <w:drawing>
          <wp:inline xmlns:a="http://schemas.openxmlformats.org/drawingml/2006/main" xmlns:pic="http://schemas.openxmlformats.org/drawingml/2006/picture">
            <wp:extent cx="5580000" cy="10559375"/>
            <wp:docPr id="1" name="Picture 1"/>
            <wp:cNvGraphicFramePr>
              <a:graphicFrameLocks noChangeAspect="1"/>
            </wp:cNvGraphicFramePr>
            <a:graphic>
              <a:graphicData uri="http://schemas.openxmlformats.org/drawingml/2006/picture">
                <pic:pic>
                  <pic:nvPicPr>
                    <pic:cNvPr id="0" name="admin-1440.png"/>
                    <pic:cNvPicPr/>
                  </pic:nvPicPr>
                  <pic:blipFill>
                    <a:blip r:embed="rId9"/>
                    <a:stretch>
                      <a:fillRect/>
                    </a:stretch>
                  </pic:blipFill>
                  <pic:spPr>
                    <a:xfrm>
                      <a:off x="0" y="0"/>
                      <a:ext cx="5580000" cy="10559375"/>
                    </a:xfrm>
                    <a:prstGeom prst="rect"/>
                  </pic:spPr>
                </pic:pic>
              </a:graphicData>
            </a:graphic>
          </wp:inline>
        </w:drawing>
      </w:r>
    </w:p>
    <w:p>
      <w:pPr>
        <w:spacing w:after="80"/>
        <w:jc w:val="right"/>
        <w:bidi w:val="1"/>
      </w:pPr>
      <w:r>
        <w:rPr>
          <w:rFonts w:ascii="Arial" w:hAnsi="Arial"/>
          <w:b/>
          <w:sz w:val="18"/>
          <w:rFonts w:ascii="Arial" w:hAnsi="Arial" w:cs="Arial" w:eastAsia="Arial"/>
          <w:rtl w:val="1"/>
        </w:rPr>
        <w:t>admin @ 768px — dir=rtl · بلا تمرير أفقيّ</w:t>
      </w:r>
    </w:p>
    <w:p>
      <w:pPr>
        <w:jc w:val="center"/>
      </w:pPr>
      <w:r>
        <w:drawing>
          <wp:inline xmlns:a="http://schemas.openxmlformats.org/drawingml/2006/main" xmlns:pic="http://schemas.openxmlformats.org/drawingml/2006/picture">
            <wp:extent cx="3240000" cy="17292656"/>
            <wp:docPr id="2" name="Picture 2"/>
            <wp:cNvGraphicFramePr>
              <a:graphicFrameLocks noChangeAspect="1"/>
            </wp:cNvGraphicFramePr>
            <a:graphic>
              <a:graphicData uri="http://schemas.openxmlformats.org/drawingml/2006/picture">
                <pic:pic>
                  <pic:nvPicPr>
                    <pic:cNvPr id="0" name="admin-768.png"/>
                    <pic:cNvPicPr/>
                  </pic:nvPicPr>
                  <pic:blipFill>
                    <a:blip r:embed="rId10"/>
                    <a:stretch>
                      <a:fillRect/>
                    </a:stretch>
                  </pic:blipFill>
                  <pic:spPr>
                    <a:xfrm>
                      <a:off x="0" y="0"/>
                      <a:ext cx="3240000" cy="17292656"/>
                    </a:xfrm>
                    <a:prstGeom prst="rect"/>
                  </pic:spPr>
                </pic:pic>
              </a:graphicData>
            </a:graphic>
          </wp:inline>
        </w:drawing>
      </w:r>
    </w:p>
    <w:p>
      <w:pPr>
        <w:spacing w:after="80"/>
        <w:jc w:val="right"/>
        <w:bidi w:val="1"/>
      </w:pPr>
      <w:r>
        <w:rPr>
          <w:rFonts w:ascii="Arial" w:hAnsi="Arial"/>
          <w:b/>
          <w:sz w:val="18"/>
          <w:rFonts w:ascii="Arial" w:hAnsi="Arial" w:cs="Arial" w:eastAsia="Arial"/>
          <w:rtl w:val="1"/>
        </w:rPr>
        <w:t>admin @ 390px — dir=rtl · بلا تمرير أفقيّ</w:t>
      </w:r>
    </w:p>
    <w:p>
      <w:pPr>
        <w:jc w:val="center"/>
      </w:pPr>
      <w:r>
        <w:drawing>
          <wp:inline xmlns:a="http://schemas.openxmlformats.org/drawingml/2006/main" xmlns:pic="http://schemas.openxmlformats.org/drawingml/2006/picture">
            <wp:extent cx="1872000" cy="25804800"/>
            <wp:docPr id="3" name="Picture 3"/>
            <wp:cNvGraphicFramePr>
              <a:graphicFrameLocks noChangeAspect="1"/>
            </wp:cNvGraphicFramePr>
            <a:graphic>
              <a:graphicData uri="http://schemas.openxmlformats.org/drawingml/2006/picture">
                <pic:pic>
                  <pic:nvPicPr>
                    <pic:cNvPr id="0" name="admin-390.png"/>
                    <pic:cNvPicPr/>
                  </pic:nvPicPr>
                  <pic:blipFill>
                    <a:blip r:embed="rId11"/>
                    <a:stretch>
                      <a:fillRect/>
                    </a:stretch>
                  </pic:blipFill>
                  <pic:spPr>
                    <a:xfrm>
                      <a:off x="0" y="0"/>
                      <a:ext cx="1872000" cy="25804800"/>
                    </a:xfrm>
                    <a:prstGeom prst="rect"/>
                  </pic:spPr>
                </pic:pic>
              </a:graphicData>
            </a:graphic>
          </wp:inline>
        </w:drawing>
      </w:r>
    </w:p>
    <w:p>
      <w:r>
        <w:br w:type="page"/>
      </w:r>
    </w:p>
    <w:p>
      <w:pPr>
        <w:pStyle w:val="Heading2"/>
        <w:jc w:val="right"/>
        <w:bidi w:val="1"/>
      </w:pPr>
      <w:r>
        <w:rPr>
          <w:rFonts w:ascii="Arial" w:hAnsi="Arial"/>
          <w:b/>
          <w:color w:val="1F3B63"/>
          <w:sz w:val="28"/>
          <w:rFonts w:ascii="Arial" w:hAnsi="Arial" w:cs="Arial" w:eastAsia="Arial"/>
          <w:rtl w:val="1"/>
        </w:rPr>
        <w:t>الموارد البشريّة (HR) — ٧ عناصر تنقّل</w:t>
      </w:r>
    </w:p>
    <w:p>
      <w:pPr>
        <w:spacing w:after="80"/>
        <w:jc w:val="right"/>
        <w:bidi w:val="1"/>
      </w:pPr>
      <w:r>
        <w:rPr>
          <w:rFonts w:ascii="Arial" w:hAnsi="Arial"/>
          <w:b/>
          <w:sz w:val="18"/>
          <w:rFonts w:ascii="Arial" w:hAnsi="Arial" w:cs="Arial" w:eastAsia="Arial"/>
          <w:rtl w:val="1"/>
        </w:rPr>
        <w:t>hr @ 1440px — dir=rtl · بلا تمرير أفقيّ</w:t>
      </w:r>
    </w:p>
    <w:p>
      <w:pPr>
        <w:jc w:val="center"/>
      </w:pPr>
      <w:r>
        <w:drawing>
          <wp:inline xmlns:a="http://schemas.openxmlformats.org/drawingml/2006/main" xmlns:pic="http://schemas.openxmlformats.org/drawingml/2006/picture">
            <wp:extent cx="5580000" cy="4781750"/>
            <wp:docPr id="4" name="Picture 4"/>
            <wp:cNvGraphicFramePr>
              <a:graphicFrameLocks noChangeAspect="1"/>
            </wp:cNvGraphicFramePr>
            <a:graphic>
              <a:graphicData uri="http://schemas.openxmlformats.org/drawingml/2006/picture">
                <pic:pic>
                  <pic:nvPicPr>
                    <pic:cNvPr id="0" name="hr-1440.png"/>
                    <pic:cNvPicPr/>
                  </pic:nvPicPr>
                  <pic:blipFill>
                    <a:blip r:embed="rId12"/>
                    <a:stretch>
                      <a:fillRect/>
                    </a:stretch>
                  </pic:blipFill>
                  <pic:spPr>
                    <a:xfrm>
                      <a:off x="0" y="0"/>
                      <a:ext cx="5580000" cy="4781750"/>
                    </a:xfrm>
                    <a:prstGeom prst="rect"/>
                  </pic:spPr>
                </pic:pic>
              </a:graphicData>
            </a:graphic>
          </wp:inline>
        </w:drawing>
      </w:r>
    </w:p>
    <w:p>
      <w:pPr>
        <w:spacing w:after="80"/>
        <w:jc w:val="right"/>
        <w:bidi w:val="1"/>
      </w:pPr>
      <w:r>
        <w:rPr>
          <w:rFonts w:ascii="Arial" w:hAnsi="Arial"/>
          <w:b/>
          <w:sz w:val="18"/>
          <w:rFonts w:ascii="Arial" w:hAnsi="Arial" w:cs="Arial" w:eastAsia="Arial"/>
          <w:rtl w:val="1"/>
        </w:rPr>
        <w:t>hr @ 768px — dir=rtl · بلا تمرير أفقيّ</w:t>
      </w:r>
    </w:p>
    <w:p>
      <w:pPr>
        <w:jc w:val="center"/>
      </w:pPr>
      <w:r>
        <w:drawing>
          <wp:inline xmlns:a="http://schemas.openxmlformats.org/drawingml/2006/main" xmlns:pic="http://schemas.openxmlformats.org/drawingml/2006/picture">
            <wp:extent cx="3240000" cy="6285938"/>
            <wp:docPr id="5" name="Picture 5"/>
            <wp:cNvGraphicFramePr>
              <a:graphicFrameLocks noChangeAspect="1"/>
            </wp:cNvGraphicFramePr>
            <a:graphic>
              <a:graphicData uri="http://schemas.openxmlformats.org/drawingml/2006/picture">
                <pic:pic>
                  <pic:nvPicPr>
                    <pic:cNvPr id="0" name="hr-768.png"/>
                    <pic:cNvPicPr/>
                  </pic:nvPicPr>
                  <pic:blipFill>
                    <a:blip r:embed="rId13"/>
                    <a:stretch>
                      <a:fillRect/>
                    </a:stretch>
                  </pic:blipFill>
                  <pic:spPr>
                    <a:xfrm>
                      <a:off x="0" y="0"/>
                      <a:ext cx="3240000" cy="6285938"/>
                    </a:xfrm>
                    <a:prstGeom prst="rect"/>
                  </pic:spPr>
                </pic:pic>
              </a:graphicData>
            </a:graphic>
          </wp:inline>
        </w:drawing>
      </w:r>
    </w:p>
    <w:p>
      <w:pPr>
        <w:spacing w:after="80"/>
        <w:jc w:val="right"/>
        <w:bidi w:val="1"/>
      </w:pPr>
      <w:r>
        <w:rPr>
          <w:rFonts w:ascii="Arial" w:hAnsi="Arial"/>
          <w:b/>
          <w:sz w:val="18"/>
          <w:rFonts w:ascii="Arial" w:hAnsi="Arial" w:cs="Arial" w:eastAsia="Arial"/>
          <w:rtl w:val="1"/>
        </w:rPr>
        <w:t>hr @ 390px — dir=rtl · بلا تمرير أفقيّ</w:t>
      </w:r>
    </w:p>
    <w:p>
      <w:pPr>
        <w:jc w:val="center"/>
      </w:pPr>
      <w:r>
        <w:drawing>
          <wp:inline xmlns:a="http://schemas.openxmlformats.org/drawingml/2006/main" xmlns:pic="http://schemas.openxmlformats.org/drawingml/2006/picture">
            <wp:extent cx="1872000" cy="10272000"/>
            <wp:docPr id="6" name="Picture 6"/>
            <wp:cNvGraphicFramePr>
              <a:graphicFrameLocks noChangeAspect="1"/>
            </wp:cNvGraphicFramePr>
            <a:graphic>
              <a:graphicData uri="http://schemas.openxmlformats.org/drawingml/2006/picture">
                <pic:pic>
                  <pic:nvPicPr>
                    <pic:cNvPr id="0" name="hr-390.png"/>
                    <pic:cNvPicPr/>
                  </pic:nvPicPr>
                  <pic:blipFill>
                    <a:blip r:embed="rId14"/>
                    <a:stretch>
                      <a:fillRect/>
                    </a:stretch>
                  </pic:blipFill>
                  <pic:spPr>
                    <a:xfrm>
                      <a:off x="0" y="0"/>
                      <a:ext cx="1872000" cy="10272000"/>
                    </a:xfrm>
                    <a:prstGeom prst="rect"/>
                  </pic:spPr>
                </pic:pic>
              </a:graphicData>
            </a:graphic>
          </wp:inline>
        </w:drawing>
      </w:r>
    </w:p>
    <w:p>
      <w:r>
        <w:br w:type="page"/>
      </w:r>
    </w:p>
    <w:p>
      <w:pPr>
        <w:pStyle w:val="Heading2"/>
        <w:jc w:val="right"/>
        <w:bidi w:val="1"/>
      </w:pPr>
      <w:r>
        <w:rPr>
          <w:rFonts w:ascii="Arial" w:hAnsi="Arial"/>
          <w:b/>
          <w:color w:val="1F3B63"/>
          <w:sz w:val="28"/>
          <w:rFonts w:ascii="Arial" w:hAnsi="Arial" w:cs="Arial" w:eastAsia="Arial"/>
          <w:rtl w:val="1"/>
        </w:rPr>
        <w:t>المدير (Manager) — ٧ عناصر تنقّل</w:t>
      </w:r>
    </w:p>
    <w:p>
      <w:pPr>
        <w:spacing w:after="80"/>
        <w:jc w:val="right"/>
        <w:bidi w:val="1"/>
      </w:pPr>
      <w:r>
        <w:rPr>
          <w:rFonts w:ascii="Arial" w:hAnsi="Arial"/>
          <w:b/>
          <w:sz w:val="18"/>
          <w:rFonts w:ascii="Arial" w:hAnsi="Arial" w:cs="Arial" w:eastAsia="Arial"/>
          <w:rtl w:val="1"/>
        </w:rPr>
        <w:t>manager @ 1440px — dir=rtl · بلا تمرير أفقيّ</w:t>
      </w:r>
    </w:p>
    <w:p>
      <w:pPr>
        <w:jc w:val="center"/>
      </w:pPr>
      <w:r>
        <w:drawing>
          <wp:inline xmlns:a="http://schemas.openxmlformats.org/drawingml/2006/main" xmlns:pic="http://schemas.openxmlformats.org/drawingml/2006/picture">
            <wp:extent cx="5580000" cy="7044750"/>
            <wp:docPr id="7" name="Picture 7"/>
            <wp:cNvGraphicFramePr>
              <a:graphicFrameLocks noChangeAspect="1"/>
            </wp:cNvGraphicFramePr>
            <a:graphic>
              <a:graphicData uri="http://schemas.openxmlformats.org/drawingml/2006/picture">
                <pic:pic>
                  <pic:nvPicPr>
                    <pic:cNvPr id="0" name="manager-1440.png"/>
                    <pic:cNvPicPr/>
                  </pic:nvPicPr>
                  <pic:blipFill>
                    <a:blip r:embed="rId15"/>
                    <a:stretch>
                      <a:fillRect/>
                    </a:stretch>
                  </pic:blipFill>
                  <pic:spPr>
                    <a:xfrm>
                      <a:off x="0" y="0"/>
                      <a:ext cx="5580000" cy="7044750"/>
                    </a:xfrm>
                    <a:prstGeom prst="rect"/>
                  </pic:spPr>
                </pic:pic>
              </a:graphicData>
            </a:graphic>
          </wp:inline>
        </w:drawing>
      </w:r>
    </w:p>
    <w:p>
      <w:pPr>
        <w:spacing w:after="80"/>
        <w:jc w:val="right"/>
        <w:bidi w:val="1"/>
      </w:pPr>
      <w:r>
        <w:rPr>
          <w:rFonts w:ascii="Arial" w:hAnsi="Arial"/>
          <w:b/>
          <w:sz w:val="18"/>
          <w:rFonts w:ascii="Arial" w:hAnsi="Arial" w:cs="Arial" w:eastAsia="Arial"/>
          <w:rtl w:val="1"/>
        </w:rPr>
        <w:t>manager @ 768px — dir=rtl · بلا تمرير أفقيّ</w:t>
      </w:r>
    </w:p>
    <w:p>
      <w:pPr>
        <w:jc w:val="center"/>
      </w:pPr>
      <w:r>
        <w:drawing>
          <wp:inline xmlns:a="http://schemas.openxmlformats.org/drawingml/2006/main" xmlns:pic="http://schemas.openxmlformats.org/drawingml/2006/picture">
            <wp:extent cx="3240000" cy="9585000"/>
            <wp:docPr id="8" name="Picture 8"/>
            <wp:cNvGraphicFramePr>
              <a:graphicFrameLocks noChangeAspect="1"/>
            </wp:cNvGraphicFramePr>
            <a:graphic>
              <a:graphicData uri="http://schemas.openxmlformats.org/drawingml/2006/picture">
                <pic:pic>
                  <pic:nvPicPr>
                    <pic:cNvPr id="0" name="manager-768.png"/>
                    <pic:cNvPicPr/>
                  </pic:nvPicPr>
                  <pic:blipFill>
                    <a:blip r:embed="rId16"/>
                    <a:stretch>
                      <a:fillRect/>
                    </a:stretch>
                  </pic:blipFill>
                  <pic:spPr>
                    <a:xfrm>
                      <a:off x="0" y="0"/>
                      <a:ext cx="3240000" cy="9585000"/>
                    </a:xfrm>
                    <a:prstGeom prst="rect"/>
                  </pic:spPr>
                </pic:pic>
              </a:graphicData>
            </a:graphic>
          </wp:inline>
        </w:drawing>
      </w:r>
    </w:p>
    <w:p>
      <w:pPr>
        <w:spacing w:after="80"/>
        <w:jc w:val="right"/>
        <w:bidi w:val="1"/>
      </w:pPr>
      <w:r>
        <w:rPr>
          <w:rFonts w:ascii="Arial" w:hAnsi="Arial"/>
          <w:b/>
          <w:sz w:val="18"/>
          <w:rFonts w:ascii="Arial" w:hAnsi="Arial" w:cs="Arial" w:eastAsia="Arial"/>
          <w:rtl w:val="1"/>
        </w:rPr>
        <w:t>manager @ 390px — dir=rtl · بلا تمرير أفقيّ</w:t>
      </w:r>
    </w:p>
    <w:p>
      <w:pPr>
        <w:jc w:val="center"/>
      </w:pPr>
      <w:r>
        <w:drawing>
          <wp:inline xmlns:a="http://schemas.openxmlformats.org/drawingml/2006/main" xmlns:pic="http://schemas.openxmlformats.org/drawingml/2006/picture">
            <wp:extent cx="1872000" cy="14356800"/>
            <wp:docPr id="9" name="Picture 9"/>
            <wp:cNvGraphicFramePr>
              <a:graphicFrameLocks noChangeAspect="1"/>
            </wp:cNvGraphicFramePr>
            <a:graphic>
              <a:graphicData uri="http://schemas.openxmlformats.org/drawingml/2006/picture">
                <pic:pic>
                  <pic:nvPicPr>
                    <pic:cNvPr id="0" name="manager-390.png"/>
                    <pic:cNvPicPr/>
                  </pic:nvPicPr>
                  <pic:blipFill>
                    <a:blip r:embed="rId17"/>
                    <a:stretch>
                      <a:fillRect/>
                    </a:stretch>
                  </pic:blipFill>
                  <pic:spPr>
                    <a:xfrm>
                      <a:off x="0" y="0"/>
                      <a:ext cx="1872000" cy="14356800"/>
                    </a:xfrm>
                    <a:prstGeom prst="rect"/>
                  </pic:spPr>
                </pic:pic>
              </a:graphicData>
            </a:graphic>
          </wp:inline>
        </w:drawing>
      </w:r>
    </w:p>
    <w:p>
      <w:r>
        <w:br w:type="page"/>
      </w:r>
    </w:p>
    <w:p>
      <w:pPr>
        <w:pStyle w:val="Heading2"/>
        <w:jc w:val="right"/>
        <w:bidi w:val="1"/>
      </w:pPr>
      <w:r>
        <w:rPr>
          <w:rFonts w:ascii="Arial" w:hAnsi="Arial"/>
          <w:b/>
          <w:color w:val="1F3B63"/>
          <w:sz w:val="28"/>
          <w:rFonts w:ascii="Arial" w:hAnsi="Arial" w:cs="Arial" w:eastAsia="Arial"/>
          <w:rtl w:val="1"/>
        </w:rPr>
        <w:t>الموظّف (Employee) — ٦ عناصر تنقّل</w:t>
      </w:r>
    </w:p>
    <w:p>
      <w:pPr>
        <w:spacing w:after="80"/>
        <w:jc w:val="right"/>
        <w:bidi w:val="1"/>
      </w:pPr>
      <w:r>
        <w:rPr>
          <w:rFonts w:ascii="Arial" w:hAnsi="Arial"/>
          <w:b/>
          <w:sz w:val="18"/>
          <w:rFonts w:ascii="Arial" w:hAnsi="Arial" w:cs="Arial" w:eastAsia="Arial"/>
          <w:rtl w:val="1"/>
        </w:rPr>
        <w:t>employee @ 1440px — dir=rtl · بلا تمرير أفقيّ</w:t>
      </w:r>
    </w:p>
    <w:p>
      <w:pPr>
        <w:jc w:val="center"/>
      </w:pPr>
      <w:r>
        <w:drawing>
          <wp:inline xmlns:a="http://schemas.openxmlformats.org/drawingml/2006/main" xmlns:pic="http://schemas.openxmlformats.org/drawingml/2006/picture">
            <wp:extent cx="5580000" cy="4433000"/>
            <wp:docPr id="10" name="Picture 10"/>
            <wp:cNvGraphicFramePr>
              <a:graphicFrameLocks noChangeAspect="1"/>
            </wp:cNvGraphicFramePr>
            <a:graphic>
              <a:graphicData uri="http://schemas.openxmlformats.org/drawingml/2006/picture">
                <pic:pic>
                  <pic:nvPicPr>
                    <pic:cNvPr id="0" name="employee-1440.png"/>
                    <pic:cNvPicPr/>
                  </pic:nvPicPr>
                  <pic:blipFill>
                    <a:blip r:embed="rId18"/>
                    <a:stretch>
                      <a:fillRect/>
                    </a:stretch>
                  </pic:blipFill>
                  <pic:spPr>
                    <a:xfrm>
                      <a:off x="0" y="0"/>
                      <a:ext cx="5580000" cy="4433000"/>
                    </a:xfrm>
                    <a:prstGeom prst="rect"/>
                  </pic:spPr>
                </pic:pic>
              </a:graphicData>
            </a:graphic>
          </wp:inline>
        </w:drawing>
      </w:r>
    </w:p>
    <w:p>
      <w:pPr>
        <w:spacing w:after="80"/>
        <w:jc w:val="right"/>
        <w:bidi w:val="1"/>
      </w:pPr>
      <w:r>
        <w:rPr>
          <w:rFonts w:ascii="Arial" w:hAnsi="Arial"/>
          <w:b/>
          <w:sz w:val="18"/>
          <w:rFonts w:ascii="Arial" w:hAnsi="Arial" w:cs="Arial" w:eastAsia="Arial"/>
          <w:rtl w:val="1"/>
        </w:rPr>
        <w:t>employee @ 768px — dir=rtl · بلا تمرير أفقيّ</w:t>
      </w:r>
    </w:p>
    <w:p>
      <w:pPr>
        <w:jc w:val="center"/>
      </w:pPr>
      <w:r>
        <w:drawing>
          <wp:inline xmlns:a="http://schemas.openxmlformats.org/drawingml/2006/main" xmlns:pic="http://schemas.openxmlformats.org/drawingml/2006/picture">
            <wp:extent cx="3240000" cy="6007500"/>
            <wp:docPr id="11" name="Picture 11"/>
            <wp:cNvGraphicFramePr>
              <a:graphicFrameLocks noChangeAspect="1"/>
            </wp:cNvGraphicFramePr>
            <a:graphic>
              <a:graphicData uri="http://schemas.openxmlformats.org/drawingml/2006/picture">
                <pic:pic>
                  <pic:nvPicPr>
                    <pic:cNvPr id="0" name="employee-768.png"/>
                    <pic:cNvPicPr/>
                  </pic:nvPicPr>
                  <pic:blipFill>
                    <a:blip r:embed="rId19"/>
                    <a:stretch>
                      <a:fillRect/>
                    </a:stretch>
                  </pic:blipFill>
                  <pic:spPr>
                    <a:xfrm>
                      <a:off x="0" y="0"/>
                      <a:ext cx="3240000" cy="6007500"/>
                    </a:xfrm>
                    <a:prstGeom prst="rect"/>
                  </pic:spPr>
                </pic:pic>
              </a:graphicData>
            </a:graphic>
          </wp:inline>
        </w:drawing>
      </w:r>
    </w:p>
    <w:p>
      <w:pPr>
        <w:spacing w:after="80"/>
        <w:jc w:val="right"/>
        <w:bidi w:val="1"/>
      </w:pPr>
      <w:r>
        <w:rPr>
          <w:rFonts w:ascii="Arial" w:hAnsi="Arial"/>
          <w:b/>
          <w:sz w:val="18"/>
          <w:rFonts w:ascii="Arial" w:hAnsi="Arial" w:cs="Arial" w:eastAsia="Arial"/>
          <w:rtl w:val="1"/>
        </w:rPr>
        <w:t>employee @ 390px — dir=rtl · بلا تمرير أفقيّ</w:t>
      </w:r>
    </w:p>
    <w:p>
      <w:pPr>
        <w:jc w:val="center"/>
      </w:pPr>
      <w:r>
        <w:drawing>
          <wp:inline xmlns:a="http://schemas.openxmlformats.org/drawingml/2006/main" xmlns:pic="http://schemas.openxmlformats.org/drawingml/2006/picture">
            <wp:extent cx="1872000" cy="8889600"/>
            <wp:docPr id="12" name="Picture 12"/>
            <wp:cNvGraphicFramePr>
              <a:graphicFrameLocks noChangeAspect="1"/>
            </wp:cNvGraphicFramePr>
            <a:graphic>
              <a:graphicData uri="http://schemas.openxmlformats.org/drawingml/2006/picture">
                <pic:pic>
                  <pic:nvPicPr>
                    <pic:cNvPr id="0" name="employee-390.png"/>
                    <pic:cNvPicPr/>
                  </pic:nvPicPr>
                  <pic:blipFill>
                    <a:blip r:embed="rId20"/>
                    <a:stretch>
                      <a:fillRect/>
                    </a:stretch>
                  </pic:blipFill>
                  <pic:spPr>
                    <a:xfrm>
                      <a:off x="0" y="0"/>
                      <a:ext cx="1872000" cy="8889600"/>
                    </a:xfrm>
                    <a:prstGeom prst="rect"/>
                  </pic:spPr>
                </pic:pic>
              </a:graphicData>
            </a:graphic>
          </wp:inline>
        </w:drawing>
      </w:r>
    </w:p>
    <w:p>
      <w:r>
        <w:br w:type="page"/>
      </w:r>
    </w:p>
    <w:p>
      <w:pPr>
        <w:pStyle w:val="Heading2"/>
        <w:jc w:val="right"/>
        <w:bidi w:val="1"/>
      </w:pPr>
      <w:r>
        <w:rPr>
          <w:rFonts w:ascii="Arial" w:hAnsi="Arial"/>
          <w:b/>
          <w:color w:val="1F3B63"/>
          <w:sz w:val="28"/>
          <w:rFonts w:ascii="Arial" w:hAnsi="Arial" w:cs="Arial" w:eastAsia="Arial"/>
          <w:rtl w:val="1"/>
        </w:rPr>
        <w:t>صفحة الدخول (بلا مصادقة)</w:t>
      </w:r>
    </w:p>
    <w:p>
      <w:pPr>
        <w:spacing w:after="80"/>
        <w:jc w:val="right"/>
        <w:bidi w:val="1"/>
      </w:pPr>
      <w:r>
        <w:rPr>
          <w:rFonts w:ascii="Arial" w:hAnsi="Arial"/>
          <w:b/>
          <w:sz w:val="18"/>
          <w:rFonts w:ascii="Arial" w:hAnsi="Arial" w:cs="Arial" w:eastAsia="Arial"/>
          <w:rtl w:val="1"/>
        </w:rPr>
        <w:t>صفحة الدخول @ 1440px — بلا تمرير أفقيّ</w:t>
      </w:r>
    </w:p>
    <w:p>
      <w:pPr>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login-1440.png"/>
                    <pic:cNvPicPr/>
                  </pic:nvPicPr>
                  <pic:blipFill>
                    <a:blip r:embed="rId21"/>
                    <a:stretch>
                      <a:fillRect/>
                    </a:stretch>
                  </pic:blipFill>
                  <pic:spPr>
                    <a:xfrm>
                      <a:off x="0" y="0"/>
                      <a:ext cx="5580000" cy="3487500"/>
                    </a:xfrm>
                    <a:prstGeom prst="rect"/>
                  </pic:spPr>
                </pic:pic>
              </a:graphicData>
            </a:graphic>
          </wp:inline>
        </w:drawing>
      </w:r>
    </w:p>
    <w:p>
      <w:pPr>
        <w:spacing w:after="80"/>
        <w:jc w:val="right"/>
        <w:bidi w:val="1"/>
      </w:pPr>
      <w:r>
        <w:rPr>
          <w:rFonts w:ascii="Arial" w:hAnsi="Arial"/>
          <w:b/>
          <w:sz w:val="18"/>
          <w:rFonts w:ascii="Arial" w:hAnsi="Arial" w:cs="Arial" w:eastAsia="Arial"/>
          <w:rtl w:val="1"/>
        </w:rPr>
        <w:t>صفحة الدخول @ 768px — بلا تمرير أفقيّ</w:t>
      </w:r>
    </w:p>
    <w:p>
      <w:pPr>
        <w:jc w:val="center"/>
      </w:pPr>
      <w:r>
        <w:drawing>
          <wp:inline xmlns:a="http://schemas.openxmlformats.org/drawingml/2006/main" xmlns:pic="http://schemas.openxmlformats.org/drawingml/2006/picture">
            <wp:extent cx="3240000" cy="4320000"/>
            <wp:docPr id="14" name="Picture 14"/>
            <wp:cNvGraphicFramePr>
              <a:graphicFrameLocks noChangeAspect="1"/>
            </wp:cNvGraphicFramePr>
            <a:graphic>
              <a:graphicData uri="http://schemas.openxmlformats.org/drawingml/2006/picture">
                <pic:pic>
                  <pic:nvPicPr>
                    <pic:cNvPr id="0" name="login-768.png"/>
                    <pic:cNvPicPr/>
                  </pic:nvPicPr>
                  <pic:blipFill>
                    <a:blip r:embed="rId22"/>
                    <a:stretch>
                      <a:fillRect/>
                    </a:stretch>
                  </pic:blipFill>
                  <pic:spPr>
                    <a:xfrm>
                      <a:off x="0" y="0"/>
                      <a:ext cx="3240000" cy="4320000"/>
                    </a:xfrm>
                    <a:prstGeom prst="rect"/>
                  </pic:spPr>
                </pic:pic>
              </a:graphicData>
            </a:graphic>
          </wp:inline>
        </w:drawing>
      </w:r>
    </w:p>
    <w:p>
      <w:pPr>
        <w:spacing w:after="80"/>
        <w:jc w:val="right"/>
        <w:bidi w:val="1"/>
      </w:pPr>
      <w:r>
        <w:rPr>
          <w:rFonts w:ascii="Arial" w:hAnsi="Arial"/>
          <w:b/>
          <w:sz w:val="18"/>
          <w:rFonts w:ascii="Arial" w:hAnsi="Arial" w:cs="Arial" w:eastAsia="Arial"/>
          <w:rtl w:val="1"/>
        </w:rPr>
        <w:t>صفحة الدخول @ 390px — بلا تمرير أفقيّ</w:t>
      </w:r>
    </w:p>
    <w:p>
      <w:pPr>
        <w:jc w:val="center"/>
      </w:pPr>
      <w:r>
        <w:drawing>
          <wp:inline xmlns:a="http://schemas.openxmlformats.org/drawingml/2006/main" xmlns:pic="http://schemas.openxmlformats.org/drawingml/2006/picture">
            <wp:extent cx="1872000" cy="4051200"/>
            <wp:docPr id="15" name="Picture 15"/>
            <wp:cNvGraphicFramePr>
              <a:graphicFrameLocks noChangeAspect="1"/>
            </wp:cNvGraphicFramePr>
            <a:graphic>
              <a:graphicData uri="http://schemas.openxmlformats.org/drawingml/2006/picture">
                <pic:pic>
                  <pic:nvPicPr>
                    <pic:cNvPr id="0" name="login-390.png"/>
                    <pic:cNvPicPr/>
                  </pic:nvPicPr>
                  <pic:blipFill>
                    <a:blip r:embed="rId23"/>
                    <a:stretch>
                      <a:fillRect/>
                    </a:stretch>
                  </pic:blipFill>
                  <pic:spPr>
                    <a:xfrm>
                      <a:off x="0" y="0"/>
                      <a:ext cx="1872000" cy="4051200"/>
                    </a:xfrm>
                    <a:prstGeom prst="rect"/>
                  </pic:spPr>
                </pic:pic>
              </a:graphicData>
            </a:graphic>
          </wp:inline>
        </w:drawing>
      </w:r>
    </w:p>
    <w:p>
      <w:r>
        <w:br w:type="page"/>
      </w:r>
    </w:p>
    <w:p>
      <w:pPr>
        <w:pStyle w:val="Heading1"/>
        <w:jc w:val="right"/>
        <w:bidi w:val="1"/>
      </w:pPr>
      <w:r>
        <w:rPr>
          <w:rFonts w:ascii="Arial" w:hAnsi="Arial"/>
          <w:b/>
          <w:color w:val="1F3B63"/>
          <w:sz w:val="32"/>
          <w:rFonts w:ascii="Arial" w:hAnsi="Arial" w:cs="Arial" w:eastAsia="Arial"/>
          <w:rtl w:val="1"/>
        </w:rPr>
        <w:t>٨) المطابقة والتنظيف</w:t>
      </w:r>
    </w:p>
    <w:tbl>
      <w:tblPr>
        <w:tblStyle w:val="TableGrid"/>
        <w:tblW w:type="auto" w:w="0"/>
        <w:jc w:val="center"/>
        <w:tblLook w:firstColumn="1" w:firstRow="1" w:lastColumn="0" w:lastRow="0" w:noHBand="0" w:noVBand="1" w:val="04A0"/>
        <w:bidiVisual/>
      </w:tblPr>
      <w:tblGrid>
        <w:gridCol w:w="2040"/>
        <w:gridCol w:w="2040"/>
        <w:gridCol w:w="2040"/>
        <w:gridCol w:w="2040"/>
        <w:gridCol w:w="2040"/>
      </w:tblGrid>
      <w:tr>
        <w:tc>
          <w:tcPr>
            <w:tcW w:type="dxa" w:w="2041"/>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المؤشّر</w:t>
            </w:r>
          </w:p>
        </w:tc>
        <w:tc>
          <w:tcPr>
            <w:tcW w:type="dxa" w:w="1701"/>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قبل النشر</w:t>
            </w:r>
          </w:p>
        </w:tc>
        <w:tc>
          <w:tcPr>
            <w:tcW w:type="dxa" w:w="1701"/>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بعد التنظيف</w:t>
            </w:r>
          </w:p>
        </w:tc>
        <w:tc>
          <w:tcPr>
            <w:tcW w:type="dxa" w:w="1814"/>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بعد جولة اللقطات</w:t>
            </w:r>
          </w:p>
        </w:tc>
        <w:tc>
          <w:tcPr>
            <w:tcW w:type="dxa" w:w="2381"/>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الحكم</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مستخدمون (إجماليّ)</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49</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49</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49</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مستخدمون اصطناعيّون</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مطالبات perm</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إدارات</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6</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6</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6</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فرق</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11</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11</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11</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تسليمات تقارير</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39</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39</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39</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قوالب</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41</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41</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41</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md5 المستخدمين</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c6528a9e…</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c6528a9e…</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c6528a9e…</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md5 الإدارات</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f8218591…</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f8218591…</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f8218591…</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md5 الفرق</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a9383559…</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a9383559…</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a9383559…</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md5 التسليمات</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b541614e…</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b541614e…</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b541614e…</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204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الهجرات</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42</w:t>
            </w:r>
          </w:p>
        </w:tc>
        <w:tc>
          <w:tcPr>
            <w:tcW w:type="dxa" w:w="170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47</w:t>
            </w:r>
          </w:p>
        </w:tc>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47</w:t>
            </w:r>
          </w:p>
        </w:tc>
        <w:tc>
          <w:tcPr>
            <w:tcW w:type="dxa" w:w="2381"/>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فارق مُفسَّر بالكامل: ٥ هجرات المرشّح</w:t>
            </w:r>
          </w:p>
        </w:tc>
      </w:tr>
    </w:tbl>
    <w:p/>
    <w:p>
      <w:pPr>
        <w:pStyle w:val="Heading2"/>
        <w:jc w:val="right"/>
        <w:bidi w:val="1"/>
      </w:pPr>
      <w:r>
        <w:rPr>
          <w:rFonts w:ascii="Arial" w:hAnsi="Arial"/>
          <w:b/>
          <w:color w:val="1F3B63"/>
          <w:sz w:val="28"/>
          <w:rFonts w:ascii="Arial" w:hAnsi="Arial" w:cs="Arial" w:eastAsia="Arial"/>
          <w:rtl w:val="1"/>
        </w:rPr>
        <w:t>٨-١) إثبات أنّ الإنتاج لم يُمسّ</w:t>
      </w:r>
    </w:p>
    <w:tbl>
      <w:tblPr>
        <w:tblStyle w:val="TableGrid"/>
        <w:tblW w:type="auto" w:w="0"/>
        <w:jc w:val="center"/>
        <w:tblLook w:firstColumn="1" w:firstRow="1" w:lastColumn="0" w:lastRow="0" w:noHBand="0" w:noVBand="1" w:val="04A0"/>
        <w:bidiVisual/>
      </w:tblPr>
      <w:tblGrid>
        <w:gridCol w:w="2550"/>
        <w:gridCol w:w="2550"/>
        <w:gridCol w:w="2550"/>
        <w:gridCol w:w="2550"/>
      </w:tblGrid>
      <w:tr>
        <w:tc>
          <w:tcPr>
            <w:tcW w:type="dxa" w:w="1814"/>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المحور</w:t>
            </w:r>
          </w:p>
        </w:tc>
        <w:tc>
          <w:tcPr>
            <w:tcW w:type="dxa" w:w="2608"/>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قبل</w:t>
            </w:r>
          </w:p>
        </w:tc>
        <w:tc>
          <w:tcPr>
            <w:tcW w:type="dxa" w:w="2608"/>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بعد</w:t>
            </w:r>
          </w:p>
        </w:tc>
        <w:tc>
          <w:tcPr>
            <w:tcW w:type="dxa" w:w="2608"/>
            <w:shd w:fill="DCE6F1"/>
          </w:tcPr>
          <w:p>
            <w:pPr>
              <w:jc w:val="center"/>
              <w:bidi w:val="1"/>
            </w:pPr>
            <w:r>
              <w:rPr>
                <w:rFonts w:ascii="Arial" w:hAnsi="Arial"/>
                <w:b/>
                <w:sz w:val="17"/>
                <w:rFonts w:ascii="Arial" w:hAnsi="Arial" w:cs="Arial" w:eastAsia="Arial"/>
                <w:rtl w:val="1"/>
              </w:rPr>
            </w:r>
            <w:r>
              <w:rPr>
                <w:rFonts w:ascii="Arial" w:hAnsi="Arial"/>
                <w:b/>
                <w:sz w:val="17"/>
                <w:rFonts w:ascii="Arial" w:hAnsi="Arial" w:cs="Arial" w:eastAsia="Arial"/>
                <w:rtl w:val="1"/>
              </w:rPr>
              <w:t>الحكم</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md5 الثنائيّة</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ddf9598c0bf00f821a0aefe0c6cc1975</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ddf9598c0bf00f821a0aefe0c6cc1975</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mtime الثنائيّة</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2026-08-18 15:02:08</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2026-08-18 15:02:08</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MainPID</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1556574</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1556574</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 — لا إعادة تشغيل</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طابع الإقلاع</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2026-08-26 06:22:54 UTC</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2026-08-26 06:22:54 UTC</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NRestarts</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لا حلقة</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هجرات الإنتاج</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42</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42</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 — صفر هجرة مطبَّقة</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مستخدمو الإنتاج</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34</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34</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حزمة الواجهة</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index-CMjXSPXr.js</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index-CMjXSPXr.js</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مطابق</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مستخدمون اصطناعيّون</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لا تلوّث</w:t>
            </w:r>
          </w:p>
        </w:tc>
      </w:tr>
      <w:tr>
        <w:tc>
          <w:tcPr>
            <w:tcW w:type="dxa" w:w="1814"/>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مطالبات perm</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0</w:t>
            </w:r>
          </w:p>
        </w:tc>
        <w:tc>
          <w:tcPr>
            <w:tcW w:type="dxa" w:w="2608"/>
          </w:tcPr>
          <w:p>
            <w:pPr>
              <w:jc w:val="right"/>
              <w:bidi w:val="1"/>
            </w:pPr>
            <w:r>
              <w:rPr>
                <w:rFonts w:ascii="Arial" w:hAnsi="Arial"/>
                <w:b w:val="0"/>
                <w:sz w:val="17"/>
                <w:rFonts w:ascii="Arial" w:hAnsi="Arial" w:cs="Arial" w:eastAsia="Arial"/>
                <w:rtl w:val="1"/>
              </w:rPr>
            </w:r>
            <w:r>
              <w:rPr>
                <w:rFonts w:ascii="Arial" w:hAnsi="Arial"/>
                <w:b w:val="0"/>
                <w:sz w:val="17"/>
                <w:rFonts w:ascii="Arial" w:hAnsi="Arial" w:cs="Arial" w:eastAsia="Arial"/>
                <w:rtl w:val="1"/>
              </w:rPr>
              <w:t>لا منح</w:t>
            </w:r>
          </w:p>
        </w:tc>
      </w:tr>
    </w:tbl>
    <w:p/>
    <w:p>
      <w:pPr>
        <w:spacing w:after="80"/>
        <w:jc w:val="right"/>
        <w:bidi w:val="1"/>
      </w:pPr>
      <w:r>
        <w:rPr>
          <w:rFonts w:ascii="Arial" w:hAnsi="Arial"/>
          <w:b w:val="0"/>
          <w:sz w:val="20"/>
          <w:rFonts w:ascii="Arial" w:hAnsi="Arial" w:cs="Arial" w:eastAsia="Arial"/>
          <w:rtl w:val="1"/>
        </w:rPr>
        <w:t>فارق وحيد مُفسَّر: تحرّك عدد تسليمات التقارير في الإنتاج (307 ← 309 ← 308) خلال أربعين دقيقة، لأنّ الإنتاج نظام حيّ يستعمله الموظّفون الآن وكلّ الصفوف بأختام زمنيّة لحركة مستخدمين حقيقيّين (آخرها 2026-08-26 13:27:31+00). لم يُصادَق على الإنتاج ولا مرّة، ولم تُكتب فيه أيّ صفّ.</w:t>
      </w:r>
    </w:p>
    <w:p>
      <w:r>
        <w:br w:type="page"/>
      </w:r>
    </w:p>
    <w:p>
      <w:pPr>
        <w:pStyle w:val="Heading1"/>
        <w:jc w:val="right"/>
        <w:bidi w:val="1"/>
      </w:pPr>
      <w:r>
        <w:rPr>
          <w:rFonts w:ascii="Arial" w:hAnsi="Arial"/>
          <w:b/>
          <w:color w:val="1F3B63"/>
          <w:sz w:val="32"/>
          <w:rFonts w:ascii="Arial" w:hAnsi="Arial" w:cs="Arial" w:eastAsia="Arial"/>
          <w:rtl w:val="1"/>
        </w:rPr>
        <w:t>٩) الحكم والخطوة التالية</w:t>
      </w:r>
    </w:p>
    <w:p>
      <w:pPr>
        <w:jc w:val="center"/>
      </w:pPr>
      <w:r>
        <w:rPr>
          <w:rFonts w:ascii="Arial" w:hAnsi="Arial"/>
          <w:b/>
          <w:color w:val="B01C1C"/>
          <w:sz w:val="26"/>
          <w:rFonts w:ascii="Arial" w:hAnsi="Arial" w:cs="Arial" w:eastAsia="Arial"/>
        </w:rPr>
        <w:t>P123_RC_DEPLOYMENT_AND_VALIDATION_FAILED_NOT_READY_FOR_PRODUCTION</w:t>
      </w:r>
    </w:p>
    <w:p>
      <w:pPr>
        <w:spacing w:after="80"/>
        <w:jc w:val="right"/>
        <w:bidi w:val="1"/>
      </w:pPr>
      <w:r>
        <w:rPr>
          <w:rFonts w:ascii="Arial" w:hAnsi="Arial"/>
          <w:b w:val="0"/>
          <w:sz w:val="22"/>
          <w:rFonts w:ascii="Arial" w:hAnsi="Arial" w:cs="Arial" w:eastAsia="Arial"/>
          <w:rtl w:val="1"/>
        </w:rPr>
        <w:t>السبب الحصريّ: العيب DEF-P123-RC-001 المفتوح بشدّة P2. كلّ بوّابات النجاح الأخرى محقَّقة بأدلّة مقيسة.</w:t>
      </w:r>
    </w:p>
    <w:p>
      <w:pPr>
        <w:pStyle w:val="Heading2"/>
        <w:jc w:val="right"/>
        <w:bidi w:val="1"/>
      </w:pPr>
      <w:r>
        <w:rPr>
          <w:rFonts w:ascii="Arial" w:hAnsi="Arial"/>
          <w:b/>
          <w:color w:val="1F3B63"/>
          <w:sz w:val="28"/>
          <w:rFonts w:ascii="Arial" w:hAnsi="Arial" w:cs="Arial" w:eastAsia="Arial"/>
          <w:rtl w:val="1"/>
        </w:rPr>
        <w:t>الخطوة التالية (تحتاج تصريحًا صريحًا جديدًا)</w:t>
      </w:r>
    </w:p>
    <w:p>
      <w:pPr>
        <w:pStyle w:val="ListNumber"/>
        <w:jc w:val="right"/>
        <w:bidi w:val="1"/>
      </w:pPr>
      <w:r>
        <w:rPr>
          <w:rFonts w:ascii="Arial" w:hAnsi="Arial"/>
          <w:b w:val="0"/>
          <w:sz w:val="22"/>
          <w:rFonts w:ascii="Arial" w:hAnsi="Arial" w:cs="Arial" w:eastAsia="Arial"/>
          <w:rtl w:val="1"/>
        </w:rPr>
        <w:t>علاج DEF-P123-RC-001 بإضافة استثناء ما قبل الإرسال في BuildScopedQueryAsync بما يطابق AttendanceAccess.CanViewIncident.</w:t>
      </w:r>
    </w:p>
    <w:p>
      <w:pPr>
        <w:pStyle w:val="ListNumber"/>
        <w:jc w:val="right"/>
        <w:bidi w:val="1"/>
      </w:pPr>
      <w:r>
        <w:rPr>
          <w:rFonts w:ascii="Arial" w:hAnsi="Arial"/>
          <w:b w:val="0"/>
          <w:sz w:val="22"/>
          <w:rFonts w:ascii="Arial" w:hAnsi="Arial" w:cs="Arial" w:eastAsia="Arial"/>
          <w:rtl w:val="1"/>
        </w:rPr>
        <w:t>إضافة اختبار تكامل يغطّي GET /api/attendance بصفة الموضوع على واقعة Draft/Reported — لسدّ فجوة التغطية التي أخفت العيب.</w:t>
      </w:r>
    </w:p>
    <w:p>
      <w:pPr>
        <w:pStyle w:val="ListNumber"/>
        <w:jc w:val="right"/>
        <w:bidi w:val="1"/>
      </w:pPr>
      <w:r>
        <w:rPr>
          <w:rFonts w:ascii="Arial" w:hAnsi="Arial"/>
          <w:b w:val="0"/>
          <w:sz w:val="22"/>
          <w:rFonts w:ascii="Arial" w:hAnsi="Arial" w:cs="Arial" w:eastAsia="Arial"/>
          <w:rtl w:val="1"/>
        </w:rPr>
        <w:t>إعادة بناء مرشّح ونشره على RC، ثمّ إعادة السيناريو S-ATT-DRAFT-HIDDEN مع جولة انحدار موجَّهة.</w:t>
      </w:r>
    </w:p>
    <w:p>
      <w:pPr>
        <w:pStyle w:val="ListNumber"/>
        <w:jc w:val="right"/>
        <w:bidi w:val="1"/>
      </w:pPr>
      <w:r>
        <w:rPr>
          <w:rFonts w:ascii="Arial" w:hAnsi="Arial"/>
          <w:b w:val="0"/>
          <w:sz w:val="22"/>
          <w:rFonts w:ascii="Arial" w:hAnsi="Arial" w:cs="Arial" w:eastAsia="Arial"/>
          <w:rtl w:val="1"/>
        </w:rPr>
        <w:t>عندئذٍ فقط يُعاد النظر في بوّابة الإنتاج.</w:t>
      </w:r>
    </w:p>
    <w:sectPr w:rsidR="00FC693F" w:rsidRPr="0006063C" w:rsidSect="00034616">
      <w:pgSz w:w="12240" w:h="15840"/>
      <w:pgMar w:top="1020" w:right="1020" w:bottom="1020"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