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â€” Technical guide</w:t>
      </w:r>
    </w:p>
    <w:p>
      <w:r>
        <w:t>Updated: October 12, 2026.</w:t>
      </w:r>
    </w:p>
    <w:p>
      <w:r>
        <w:t xml:space="preserve">This guide describes the current source, including the October 12 configurable API URL and optional CLI destination parameter. The current packages also include optional executable-side </w:t>
      </w:r>
      <w:r>
        <w:rPr>
          <w:rFonts w:ascii="Consolas" w:hAnsi="Consolas"/>
          <w:sz w:val="18"/>
        </w:rPr>
        <w:t>.env</w:t>
      </w:r>
      <w:r>
        <w:t xml:space="preserve"> configuration.</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uses a Windows Save As dialog only when no destination parameter is supplied.</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destination argument or Save As</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destination argument or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desktop/Tytan.Updater.Desktop/StartupConfiguration.cs</w:t>
            </w:r>
          </w:p>
        </w:tc>
        <w:tc>
          <w:tcPr>
            <w:tcW w:type="dxa" w:w="4933"/>
          </w:tcPr>
          <w:p>
            <w:r>
              <w:t>Read executable-side .env and apply environment precedence</w:t>
            </w:r>
          </w:p>
        </w:tc>
      </w:tr>
      <w:tr>
        <w:tc>
          <w:tcPr>
            <w:tcW w:type="dxa" w:w="4933"/>
          </w:tcPr>
          <w:p>
            <w:r>
              <w:t>desktop/Tytan.Updater.Desktop/ConfigurationChecks.cs</w:t>
            </w:r>
          </w:p>
        </w:tc>
        <w:tc>
          <w:tcPr>
            <w:tcW w:type="dxa" w:w="4933"/>
          </w:tcPr>
          <w:p>
            <w:r>
              <w:t>Isolated shared configuration checks</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.env loading, credentials from merged environment, Ctrl+C</w:t>
            </w:r>
          </w:p>
        </w:tc>
      </w:tr>
      <w:tr>
        <w:tc>
          <w:tcPr>
            <w:tcW w:type="dxa" w:w="4933"/>
          </w:tcPr>
          <w:p>
            <w:r>
              <w:t>cli/Tytan.Updater.Cli/Command.cs</w:t>
            </w:r>
          </w:p>
        </w:tc>
        <w:tc>
          <w:tcPr>
            <w:tcW w:type="dxa" w:w="4933"/>
          </w:tcPr>
          <w:p>
            <w:r>
              <w:t>Two required arguments, optional destination,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shared configuration loader/checks,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Self-contained distributions include their architecture-specific runtime and do not require the SDK or a separate .NET installation on the customer's PC. The additional win-x86 package provides native 32-bit executables and runtime, retaining the first distribution's application behavior. A win-x64 executable cannot run on 32-bit Windows.</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the current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two required positional arguments and an optional destination directory:</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The optional third argument is validated as an existing directory before HTTP; its absolute path is combined with the validated server ZIP name. It bypasses the destination chooser and never overwrites existing files.</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when no destination parameter is supplied. If the server version is equal or older it writes No updates available. A missing matching package is an error, not an up-to-date result.</w:t>
      </w:r>
    </w:p>
    <w:p>
      <w:pPr>
        <w:pStyle w:val="CodeBlock"/>
        <w:shd w:fill="F2F4F7"/>
      </w:pPr>
      <w:r>
        <w:t>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 for the chooser; the third-argument download mode does not open a dialog.</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Startup configuration implementation</w:t>
      </w:r>
    </w:p>
    <w:p>
      <w:r/>
      <w:r>
        <w:rPr>
          <w:rFonts w:ascii="Consolas" w:hAnsi="Consolas"/>
          <w:sz w:val="18"/>
        </w:rPr>
        <w:t>StartupConfiguration.Load</w:t>
      </w:r>
      <w:r>
        <w:t xml:space="preserve"> is called before constructing the API client or main window. It reads </w:t>
      </w:r>
      <w:r>
        <w:rPr>
          <w:rFonts w:ascii="Consolas" w:hAnsi="Consolas"/>
          <w:sz w:val="18"/>
        </w:rPr>
        <w:t>Path.Combine(AppContext.BaseDirectory, ".env")</w:t>
      </w:r>
      <w:r>
        <w:t xml:space="preserve">, parses all entries, and fills only unset process environment variables. Existing URL resolution and credential fields then consume the merged values. Startup IO, syntax, and URL errors produce an English console error (exit 1) or a desktop error dialog. Missing </w:t>
      </w:r>
      <w:r>
        <w:rPr>
          <w:rFonts w:ascii="Consolas" w:hAnsi="Consolas"/>
          <w:sz w:val="18"/>
        </w:rPr>
        <w:t>.env</w:t>
      </w:r>
      <w:r>
        <w:t xml:space="preserve"> is accepted. </w:t>
      </w:r>
      <w:r>
        <w:rPr>
          <w:rFonts w:ascii="Consolas" w:hAnsi="Consolas"/>
          <w:sz w:val="18"/>
        </w:rPr>
        <w:t>--self-test</w:t>
      </w:r>
      <w:r>
        <w:t xml:space="preserve"> skips the user's file and runs isolated configuration fixtures instead; both projects compile the same loader and shared checks.</w:t>
      </w:r>
    </w:p>
    <w:p>
      <w:pPr>
        <w:pStyle w:val="CodeBlock"/>
        <w:shd w:fill="F2F4F7"/>
      </w:pPr>
      <w:r>
        <w:t>internal static void Load()</w:t>
      </w:r>
    </w:p>
    <w:p>
      <w:pPr>
        <w:pStyle w:val="CodeBlock"/>
        <w:shd w:fill="F2F4F7"/>
      </w:pPr>
      <w:r>
        <w:t xml:space="preserve">    {</w:t>
      </w:r>
    </w:p>
    <w:p>
      <w:pPr>
        <w:pStyle w:val="CodeBlock"/>
        <w:shd w:fill="F2F4F7"/>
      </w:pPr>
      <w:r>
        <w:t xml:space="preserve">        // Resolve next to the executable, independently of the working directory.</w:t>
      </w:r>
    </w:p>
    <w:p>
      <w:pPr>
        <w:pStyle w:val="CodeBlock"/>
        <w:shd w:fill="F2F4F7"/>
      </w:pPr>
      <w:r>
        <w:t xml:space="preserve">        var values = ReadFile(Path.Combine(AppContext.BaseDirectory, ".env"));</w:t>
      </w:r>
    </w:p>
    <w:p>
      <w:pPr>
        <w:pStyle w:val="CodeBlock"/>
        <w:shd w:fill="F2F4F7"/>
      </w:pPr>
      <w:r>
        <w:t xml:space="preserve">        Apply(values, Environment.GetEnvironmentVariable, Environment.SetEnvironmentVariable);</w:t>
      </w:r>
    </w:p>
    <w:p>
      <w:pPr>
        <w:pStyle w:val="CodeBlock"/>
        <w:shd w:fill="F2F4F7"/>
      </w:pPr>
      <w:r>
        <w:t xml:space="preserve">    }</w:t>
      </w:r>
    </w:p>
    <w:p>
      <w:pPr>
        <w:pStyle w:val="CodeBlock"/>
        <w:shd w:fill="F2F4F7"/>
      </w:pPr>
      <w:r>
        <w:t xml:space="preserve"> </w:t>
      </w:r>
    </w:p>
    <w:p>
      <w:r/>
      <w:r>
        <w:rPr>
          <w:rFonts w:ascii="Consolas" w:hAnsi="Consolas"/>
          <w:sz w:val="18"/>
        </w:rPr>
        <w:t>ReadFile</w:t>
      </w:r>
      <w:r>
        <w:t xml:space="preserve"> returns a dictionary and rejects invalid input without including secret values in errors. </w:t>
      </w:r>
      <w:r>
        <w:rPr>
          <w:rFonts w:ascii="Consolas" w:hAnsi="Consolas"/>
          <w:sz w:val="18"/>
        </w:rPr>
        <w:t>Apply</w:t>
      </w:r>
      <w:r>
        <w:t xml:space="preserve"> accepts injected getter/setter functions so precedence is tested without modifying the test process's real credentials. </w:t>
      </w:r>
      <w:r>
        <w:rPr>
          <w:rFonts w:ascii="Consolas" w:hAnsi="Consolas"/>
          <w:sz w:val="18"/>
        </w:rPr>
        <w:t>Keys</w:t>
      </w:r>
      <w:r>
        <w:t xml:space="preserve"> restricts the file to the three supported settings; </w:t>
      </w:r>
      <w:r>
        <w:rPr>
          <w:rFonts w:ascii="Consolas" w:hAnsi="Consolas"/>
          <w:sz w:val="18"/>
        </w:rPr>
        <w:t>InvalidLine</w:t>
      </w:r>
      <w:r>
        <w:t xml:space="preserve"> constructs errors containing only a line number.</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r/>
      <w:r>
        <w:rPr>
          <w:rFonts w:ascii="Consolas" w:hAnsi="Consolas"/>
          <w:sz w:val="18"/>
        </w:rPr>
        <w:t>CloudApiClient.ResolveBaseUri</w:t>
      </w:r>
      <w:r>
        <w:t xml:space="preserve"> parses the environment setting or uses </w:t>
      </w:r>
      <w:r>
        <w:rPr>
          <w:rFonts w:ascii="Consolas" w:hAnsi="Consolas"/>
          <w:sz w:val="18"/>
        </w:rPr>
        <w:t>DefaultBaseUrl</w:t>
      </w:r>
      <w:r>
        <w:t>. The constructor gives an explicitly injected URI precedence over the environment, preserving test/integration injection. Invalid configuration produces an English console error with exit code 1, or a desktop error dialog. HTTPS remains mandatory; the PHP server is unchanged.</w:t>
      </w:r>
    </w:p>
    <w:p>
      <w:pPr>
        <w:pStyle w:val="CodeBlock"/>
        <w:shd w:fill="F2F4F7"/>
      </w:pPr>
      <w:r>
        <w:t>internal static Uri ResolveBaseUri(string? configuredUrl)</w:t>
      </w:r>
    </w:p>
    <w:p>
      <w:pPr>
        <w:pStyle w:val="CodeBlock"/>
        <w:shd w:fill="F2F4F7"/>
      </w:pPr>
      <w:r>
        <w:t xml:space="preserve">    {</w:t>
      </w:r>
    </w:p>
    <w:p>
      <w:pPr>
        <w:pStyle w:val="CodeBlock"/>
        <w:shd w:fill="F2F4F7"/>
      </w:pPr>
      <w:r>
        <w:t xml:space="preserve">        string value = configuredUrl ?? DefaultBaseUrl;</w:t>
      </w:r>
    </w:p>
    <w:p>
      <w:pPr>
        <w:pStyle w:val="CodeBlock"/>
        <w:shd w:fill="F2F4F7"/>
      </w:pPr>
      <w:r>
        <w:t xml:space="preserve">        if (!Uri.TryCreate(value, UriKind.Absolute, out Uri? uri) || uri.Scheme != "https" ||</w:t>
      </w:r>
    </w:p>
    <w:p>
      <w:pPr>
        <w:pStyle w:val="CodeBlock"/>
        <w:shd w:fill="F2F4F7"/>
      </w:pPr>
      <w:r>
        <w:t xml:space="preserve">            uri.UserInfo != "" || uri.Query != "" || uri.Fragment != "" ||</w:t>
      </w:r>
    </w:p>
    <w:p>
      <w:pPr>
        <w:pStyle w:val="CodeBlock"/>
        <w:shd w:fill="F2F4F7"/>
      </w:pPr>
      <w:r>
        <w:t xml:space="preserve">            !uri.AbsolutePath.EndsWith('/'))</w:t>
      </w:r>
    </w:p>
    <w:p>
      <w:pPr>
        <w:pStyle w:val="CodeBlock"/>
        <w:shd w:fill="F2F4F7"/>
      </w:pPr>
      <w:r>
        <w:t xml:space="preserve">        {</w:t>
      </w:r>
    </w:p>
    <w:p>
      <w:pPr>
        <w:pStyle w:val="CodeBlock"/>
        <w:shd w:fill="F2F4F7"/>
      </w:pPr>
      <w:r>
        <w:t xml:space="preserve">            throw new ArgumentException("TYTAN_API_BASE_URL must be an HTTPS directory URL ending with '/', without credentials, a query or a fragment (not api.php).");</w:t>
      </w:r>
    </w:p>
    <w:p>
      <w:pPr>
        <w:pStyle w:val="CodeBlock"/>
        <w:shd w:fill="F2F4F7"/>
      </w:pPr>
      <w:r>
        <w:t xml:space="preserve">        }</w:t>
      </w:r>
    </w:p>
    <w:p>
      <w:pPr>
        <w:pStyle w:val="CodeBlock"/>
        <w:shd w:fill="F2F4F7"/>
      </w:pPr>
      <w:r>
        <w:t xml:space="preserve">        return uri;</w:t>
      </w:r>
    </w:p>
    <w:p>
      <w:pPr>
        <w:pStyle w:val="CodeBlock"/>
        <w:shd w:fill="F2F4F7"/>
      </w:pPr>
      <w:r>
        <w:t xml:space="preserve">    }</w:t>
      </w:r>
    </w:p>
    <w:p>
      <w:pPr>
        <w:pStyle w:val="CodeBlock"/>
        <w:shd w:fill="F2F4F7"/>
      </w:pPr>
      <w:r>
        <w:t xml:space="preserve"> </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"2026-10-02 06:57:29",</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C:\Users\Ibai\Downloads\Faktury_008.000.043.zip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current source</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42</w:t>
            </w:r>
          </w:p>
        </w:tc>
        <w:tc>
          <w:tcPr>
            <w:tcW w:type="dxa" w:w="3289"/>
          </w:tcPr>
          <w:p>
            <w:r>
              <w:t>Two/three-argument input, direct destination validation, custom URLs/environment settings, authenticated transfers, cancellation, errors, help</w:t>
            </w:r>
          </w:p>
        </w:tc>
      </w:tr>
      <w:tr>
        <w:tc>
          <w:tcPr>
            <w:tcW w:type="dxa" w:w="3289"/>
          </w:tcPr>
          <w:p>
            <w:r>
              <w:t>ConfigurationChecks (shared)</w:t>
            </w:r>
          </w:p>
        </w:tc>
        <w:tc>
          <w:tcPr>
            <w:tcW w:type="dxa" w:w="3289"/>
          </w:tcPr>
          <w:p>
            <w:r>
              <w:t>16</w:t>
            </w:r>
          </w:p>
        </w:tc>
        <w:tc>
          <w:tcPr>
            <w:tcW w:type="dxa" w:w="3289"/>
          </w:tcPr>
          <w:p>
            <w:r>
              <w:t>Optional file, parsing, literal secrets, precedence, malformed/oversized/invalid UTF-8 inputs</w:t>
            </w:r>
          </w:p>
        </w:tc>
      </w:tr>
      <w:tr>
        <w:tc>
          <w:tcPr>
            <w:tcW w:type="dxa" w:w="3289"/>
          </w:tcPr>
          <w:p>
            <w:r>
              <w:t>Total distinct Windows checks</w:t>
            </w:r>
          </w:p>
        </w:tc>
        <w:tc>
          <w:tcPr>
            <w:tcW w:type="dxa" w:w="3289"/>
          </w:tcPr>
          <w:p>
            <w:r>
              <w:t>125</w:t>
            </w:r>
          </w:p>
        </w:tc>
        <w:tc>
          <w:tcPr>
            <w:tcW w:type="dxa" w:w="3289"/>
          </w:tcPr>
          <w:p>
            <w:r>
              <w:t>Local simulated responses/fixtures; no production requests</w:t>
            </w:r>
          </w:p>
        </w:tc>
      </w:tr>
    </w:tbl>
    <w:p/>
    <w:p>
      <w:r>
        <w:t xml:space="preserve">The current builds pass 125 distinct checks: 16 shared configuration checks, 67 desktop checks, and 42 CLI checks, plus published CLI startup integration checks. The shared suite runs in both executables. The x86 run used WOW64 on the development computer. No live server request was made. Package filenames and hashes are recorded in </w:t>
      </w:r>
      <w:hyperlink r:id="rId9">
        <w:r>
          <w:rPr>
            <w:rStyle w:val="Hyperlink"/>
          </w:rPr>
          <w:t>Windows distribution</w:t>
        </w:r>
      </w:hyperlink>
      <w:r>
        <w:t>.</w:t>
      </w:r>
    </w:p>
    <w:p>
      <w:r>
        <w:t>The PHP harness independently launches actual temporary PHP servers, creates owned ZIP fixtures, exercises endpoints/configuration failures, and cleans up.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 xml:space="preserve">The script uses self-contained Release publishing, defaults to win-x64, accepts win-x86 and win-arm64, checks publish exit codes, copies two EXEs plus installation example, </w:t>
      </w:r>
      <w:r>
        <w:rPr>
          <w:rFonts w:ascii="Consolas" w:hAnsi="Consolas"/>
          <w:sz w:val="18"/>
        </w:rPr>
        <w:t>.env.example</w:t>
      </w:r>
      <w:r>
        <w:t>, and README, compresses a ZIP, and prints SHA256. It creates unique directories instead of deleting prior releases. Intermediate output is under ignored downloads/release-builds; releases are under ignored dist. Native runtime components may extract on launch. Both published architectures passed all 125 distinct checks; the win-x86 run used WOW64 on the development computer. Acceptance testing on a customer computer running 32-bit Windows remains pending.</w:t>
      </w:r>
    </w:p>
    <w:p>
      <w:r>
        <w:t>To publish the 32-bit desktop and CLI with the x86 runtime:</w:t>
      </w:r>
    </w:p>
    <w:p>
      <w:pPr>
        <w:pStyle w:val="CodeBlock"/>
        <w:shd w:fill="F2F4F7"/>
      </w:pPr>
      <w:r>
        <w:t>powershell -NoProfile -ExecutionPolicy Bypass -File ./scripts/publish_windows.ps1 -Runtime win-x86</w:t>
      </w:r>
    </w:p>
    <w:p>
      <w:r>
        <w:t xml:space="preserve">Current package filenames and SHA256 hashes are listed in </w:t>
      </w:r>
      <w:hyperlink r:id="rId9">
        <w:r>
          <w:rPr>
            <w:rStyle w:val="Hyperlink"/>
          </w:rPr>
          <w:t>Windows distribution</w:t>
        </w:r>
      </w:hyperlink>
      <w:r>
        <w:t>.</w:t>
      </w:r>
    </w:p>
    <w:p>
      <w:pPr>
        <w:pStyle w:val="Heading1"/>
      </w:pPr>
      <w:r>
        <w:t>Integration boundaries and future changes</w:t>
      </w:r>
    </w:p>
    <w:p>
      <w:r>
        <w:t xml:space="preserve">To adapt a definitive installed-version file, replace the JSON mapping in InstallationFileReader while preserving LocalInstallation semantics. To change the production endpoint base, set </w:t>
      </w:r>
      <w:r>
        <w:rPr>
          <w:rFonts w:ascii="Consolas" w:hAnsi="Consolas"/>
          <w:sz w:val="18"/>
        </w:rPr>
        <w:t>TYTAN_API_BASE_URL</w:t>
      </w:r>
      <w:r>
        <w:t xml:space="preserve"> in </w:t>
      </w:r>
      <w:r>
        <w:rPr>
          <w:rFonts w:ascii="Consolas" w:hAnsi="Consolas"/>
          <w:sz w:val="18"/>
        </w:rPr>
        <w:t>.env</w:t>
      </w:r>
      <w:r>
        <w:t xml:space="preserve"> or the process environment. It must remain an HTTPS directory URL ending in </w:t>
      </w:r>
      <w:r>
        <w:rPr>
          <w:rFonts w:ascii="Consolas" w:hAnsi="Consolas"/>
          <w:sz w:val="18"/>
        </w:rPr>
        <w:t>/</w:t>
      </w:r>
      <w:r>
        <w:t xml:space="preserve"> and expose the existing API contract. Do not change server version selection: it belongs in the client comparison layer.</w:t>
      </w:r>
    </w:p>
    <w:p>
      <w:r>
        <w:t>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w:t>
      </w:r>
    </w:p>
    <w:p>
      <w:r>
        <w:t xml:space="preserve">For end-user instructions, see </w:t>
      </w:r>
      <w:hyperlink r:id="rId10">
        <w:r>
          <w:rPr>
            <w:rStyle w:val="Hyperlink"/>
          </w:rPr>
          <w:t>User guide</w:t>
        </w:r>
      </w:hyperlink>
      <w:r>
        <w:t xml:space="preserve">. For the PHP-specific walkthrough with additional endpoint excerpts, see </w:t>
      </w:r>
      <w:hyperlink r:id="rId11">
        <w:r>
          <w:rPr>
            <w:rStyle w:val="Hyperlink"/>
          </w:rPr>
          <w:t>PHP technical walkthrough</w:t>
        </w:r>
      </w:hyperlink>
      <w:r>
        <w:t xml:space="preserve">. Deployment details remain in </w:t>
      </w:r>
      <w:hyperlink r:id="rId12">
        <w:r>
          <w:rPr>
            <w:rStyle w:val="Hyperlink"/>
          </w:rPr>
          <w:t>Server guide</w:t>
        </w:r>
      </w:hyperlink>
      <w:r>
        <w:t>.</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Â€”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istribution.md" TargetMode="External"/><Relationship Id="rId10" Type="http://schemas.openxmlformats.org/officeDocument/2006/relationships/hyperlink" Target="user-guide.md" TargetMode="External"/><Relationship Id="rId11" Type="http://schemas.openxmlformats.org/officeDocument/2006/relationships/hyperlink" Target="technical-walkthrough.md" TargetMode="External"/><Relationship Id="rId12" Type="http://schemas.openxmlformats.org/officeDocument/2006/relationships/hyperlink" Target="server.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â€” Technical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