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9, 2026. Language: English.</w:t>
      </w:r>
    </w:p>
    <w:p>
      <w:r>
        <w:t>This guide describes the retained first Windows distribution, TytanUpdater-win-x64-20261009-094714-e05a10, and the source restored by commit 9001bc9. Its application behavior matches the initial distribution commit 45122ab. Documentation changes do not change the executables or the retained ZIP.</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The published win-x64 delivery includes its runtime and does not require the SDK or a separate .NET installation on the customer's PC.</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this retained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exactly two positional arguments:</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No third destination argument is supported.</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If the server version is equal or older it writes No updates available. A missing matching package is an error, not an up-to-date result.</w:t>
      </w:r>
    </w:p>
    <w:p>
      <w:pPr>
        <w:pStyle w:val="CodeBlock"/>
        <w:shd w:fill="F2F4F7"/>
      </w:pPr>
      <w:r>
        <w:t>string? 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retained Windows version</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24</w:t>
            </w:r>
          </w:p>
        </w:tc>
        <w:tc>
          <w:tcPr>
            <w:tcW w:type="dxa" w:w="3289"/>
          </w:tcPr>
          <w:p>
            <w:r>
              <w:t>Two-name input, authenticated query/download, selected path, chooser cancellation, errors, help</w:t>
            </w:r>
          </w:p>
        </w:tc>
      </w:tr>
      <w:tr>
        <w:tc>
          <w:tcPr>
            <w:tcW w:type="dxa" w:w="3289"/>
          </w:tcPr>
          <w:p>
            <w:r>
              <w:t>Total Windows checks</w:t>
            </w:r>
          </w:p>
        </w:tc>
        <w:tc>
          <w:tcPr>
            <w:tcW w:type="dxa" w:w="3289"/>
          </w:tcPr>
          <w:p>
            <w:r>
              <w:t>91</w:t>
            </w:r>
          </w:p>
        </w:tc>
        <w:tc>
          <w:tcPr>
            <w:tcW w:type="dxa" w:w="3289"/>
          </w:tcPr>
          <w:p>
            <w:r>
              <w:t>Local simulated responses/fixtures; no production requests</w:t>
            </w:r>
          </w:p>
        </w:tc>
      </w:tr>
    </w:tbl>
    <w:p/>
    <w:p>
      <w:r>
        <w:t xml:space="preserve">The PHP harness independently launches actual temporary PHP servers, creates owned ZIP fixtures, exercises endpoints/configuration failures, and cleans up. See </w:t>
      </w:r>
      <w:hyperlink r:id="rId9">
        <w:r>
          <w:rPr>
            <w:rStyle w:val="Hyperlink"/>
          </w:rPr>
          <w:t>verification history</w:t>
        </w:r>
      </w:hyperlink>
      <w:r>
        <w:t xml:space="preserve"> for historical PHP runtime results.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The retained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The script uses self-contained Release publishing, defaults to win-x64, optionally accepts win-arm64, checks publish exit codes, copies two EXEs plus example/README, compresses a ZIP, and prints SHA256. It creates unique directories instead of deleting prior releases. Intermediate output is under ignored downloads/release-builds; releases are under ignored dist. Native runtime components may extract on launch. Only win-x64 was verified for the retained package.</w:t>
      </w:r>
    </w:p>
    <w:p>
      <w:r>
        <w:t>The retained original ZIP is approximately 85.3 MiB, with SHA256 29A0E00943D989D0300CA11FE0AC78F8FB306BEB03E90B88733000A2A5F99D7E. It is preserved unchanged; the new user/technical guides are separate documentation artifacts.</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 xml:space="preserve">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 See </w:t>
      </w:r>
      <w:hyperlink r:id="rId10">
        <w:r>
          <w:rPr>
            <w:rStyle w:val="Hyperlink"/>
          </w:rPr>
          <w:t>installation contract</w:t>
        </w:r>
      </w:hyperlink>
      <w:r>
        <w:t>.</w:t>
      </w:r>
    </w:p>
    <w:p>
      <w:r>
        <w:t xml:space="preserve">For end-user instructions, see </w:t>
      </w:r>
      <w:hyperlink r:id="rId11">
        <w:r>
          <w:rPr>
            <w:rStyle w:val="Hyperlink"/>
          </w:rPr>
          <w:t>User guide</w:t>
        </w:r>
      </w:hyperlink>
      <w:r>
        <w:t xml:space="preserve">. For the PHP-specific walkthrough with additional endpoint excerpts, see </w:t>
      </w:r>
      <w:hyperlink r:id="rId12">
        <w:r>
          <w:rPr>
            <w:rStyle w:val="Hyperlink"/>
          </w:rPr>
          <w:t>PHP technical walkthrough</w:t>
        </w:r>
      </w:hyperlink>
      <w:r>
        <w:t xml:space="preserve">. Deployment details remain in </w:t>
      </w:r>
      <w:hyperlink r:id="rId13">
        <w:r>
          <w:rPr>
            <w:rStyle w:val="Hyperlink"/>
          </w:rPr>
          <w:t>Server guide</w:t>
        </w:r>
      </w:hyperlink>
      <w:r>
        <w:t>.</w:t>
      </w:r>
    </w:p>
    <w:sectPr w:rsidR="00FC693F" w:rsidRPr="0006063C" w:rsidSect="00034616">
      <w:headerReference w:type="default" r:id="rId14"/>
      <w:footerReference w:type="default" r:id="rId15"/>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verificacion.md" TargetMode="External"/><Relationship Id="rId10" Type="http://schemas.openxmlformats.org/officeDocument/2006/relationships/hyperlink" Target="installation-contract.md" TargetMode="External"/><Relationship Id="rId11" Type="http://schemas.openxmlformats.org/officeDocument/2006/relationships/hyperlink" Target="user-guide.md" TargetMode="External"/><Relationship Id="rId12" Type="http://schemas.openxmlformats.org/officeDocument/2006/relationships/hyperlink" Target="technical-walkthrough.md" TargetMode="External"/><Relationship Id="rId13" Type="http://schemas.openxmlformats.org/officeDocument/2006/relationships/hyperlink" Target="server.md" TargetMode="External"/><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