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â€” Technical guide</w:t>
      </w:r>
    </w:p>
    <w:p>
      <w:r>
        <w:t>Updated: October 12, 2026.</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uses a Windows Save As dialog only when no destination parameter is supplied.</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destination argument or Save As</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destination argument or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desktop/Tytan.Updater.Desktop/StartupConfiguration.cs</w:t>
            </w:r>
          </w:p>
        </w:tc>
        <w:tc>
          <w:tcPr>
            <w:tcW w:type="dxa" w:w="4933"/>
          </w:tcPr>
          <w:p>
            <w:r>
              <w:t>Read executable-side .env and apply environment precedence</w:t>
            </w:r>
          </w:p>
        </w:tc>
      </w:tr>
      <w:tr>
        <w:tc>
          <w:tcPr>
            <w:tcW w:type="dxa" w:w="4933"/>
          </w:tcPr>
          <w:p>
            <w:r>
              <w:t>desktop/Tytan.Updater.Desktop/ConfigurationChecks.cs</w:t>
            </w:r>
          </w:p>
        </w:tc>
        <w:tc>
          <w:tcPr>
            <w:tcW w:type="dxa" w:w="4933"/>
          </w:tcPr>
          <w:p>
            <w:r>
              <w:t>Isolated shared configuration checks</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.env loading, credentials from merged environment, Ctrl+C</w:t>
            </w:r>
          </w:p>
        </w:tc>
      </w:tr>
      <w:tr>
        <w:tc>
          <w:tcPr>
            <w:tcW w:type="dxa" w:w="4933"/>
          </w:tcPr>
          <w:p>
            <w:r>
              <w:t>cli/Tytan.Updater.Cli/Command.cs</w:t>
            </w:r>
          </w:p>
        </w:tc>
        <w:tc>
          <w:tcPr>
            <w:tcW w:type="dxa" w:w="4933"/>
          </w:tcPr>
          <w:p>
            <w:r>
              <w:t>Two required arguments, optional destination,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shared configuration loader/checks,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C:\Tytan\Updates\Faktury_008.000.043.zip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current builds pass 125 distinct checks: 16 shared configuration checks, 67 desktop checks, and 42 CLI checks, plus published CLI startup integration checks. The shared suite runs in both executables.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xml:space="preserve">, and README, compresses a ZIP, and prints SHA256. Build staging uses a unique directory; delivery folders and ZIPs use stable names such as </w:t>
      </w:r>
      <w:r>
        <w:rPr>
          <w:rFonts w:ascii="Consolas" w:hAnsi="Consolas"/>
          <w:sz w:val="18"/>
        </w:rPr>
        <w:t>TytanUpdater-win-x64</w:t>
      </w:r>
      <w:r>
        <w:t>. Existing delivery directories or ZIPs must be moved elsewhere before publishing again. Intermediate output is under ignored downloads/release-builds; releases are under ignored dist. Native runtime components may extract on launch. Both published architectures passed all 125 distinct checks; the win-x86 run used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 xml:space="preserve">To adapt a definitive installed-version file, replace the JSON mapping in InstallationFileReader while preserving LocalInstallation semantics. To change the production endpoint base, set </w:t>
      </w:r>
      <w:r>
        <w:rPr>
          <w:rFonts w:ascii="Consolas" w:hAnsi="Consolas"/>
          <w:sz w:val="18"/>
        </w:rPr>
        <w:t>TYTAN_API_BASE_URL</w:t>
      </w:r>
      <w:r>
        <w:t xml:space="preserve"> in </w:t>
      </w:r>
      <w:r>
        <w:rPr>
          <w:rFonts w:ascii="Consolas" w:hAnsi="Consolas"/>
          <w:sz w:val="18"/>
        </w:rPr>
        <w:t>.env</w:t>
      </w:r>
      <w:r>
        <w:t xml:space="preserve"> or the process environment. It must remain an HTTPS directory URL ending in </w:t>
      </w:r>
      <w:r>
        <w:rPr>
          <w:rFonts w:ascii="Consolas" w:hAnsi="Consolas"/>
          <w:sz w:val="18"/>
        </w:rPr>
        <w:t>/</w:t>
      </w:r>
      <w:r>
        <w:t xml:space="preserve"> and expose the existing API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Â€”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â€”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