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CF3D58">
      <w:pPr>
        <w:pStyle w:val="10"/>
        <w:rPr>
          <w:noProof/>
          <w:kern w:val="2"/>
          <w:sz w:val="21"/>
        </w:rPr>
      </w:pPr>
      <w:r w:rsidRPr="00CF3D5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CF3D58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CF3D58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CF3D58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CF3D5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CF3D5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CF3D5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CF3D58">
      <w:pPr>
        <w:adjustRightInd/>
        <w:snapToGrid/>
        <w:spacing w:line="220" w:lineRule="atLeast"/>
        <w:rPr>
          <w:rStyle w:val="3Char"/>
        </w:rPr>
      </w:pPr>
      <w:r w:rsidRPr="00CF3D5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CF3D5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CF3D5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CF3D5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CF3D5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CF3D5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CF3D58" w:rsidP="00E248B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CF3D5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订单号：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rFonts w:hint="eastAsia"/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lastRenderedPageBreak/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CF3D58" w:rsidP="00342126">
      <w:pPr>
        <w:rPr>
          <w:color w:val="00B050"/>
        </w:rPr>
      </w:pPr>
      <w:r w:rsidRPr="00CF3D5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CF3D58" w:rsidP="00971FEC">
      <w:pPr>
        <w:rPr>
          <w:color w:val="00B050"/>
        </w:rPr>
      </w:pPr>
      <w:r w:rsidRPr="00CF3D5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E248B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E248B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A6E" w:rsidRDefault="00320A6E" w:rsidP="002939F4">
      <w:pPr>
        <w:spacing w:after="0"/>
      </w:pPr>
      <w:r>
        <w:separator/>
      </w:r>
    </w:p>
  </w:endnote>
  <w:endnote w:type="continuationSeparator" w:id="0">
    <w:p w:rsidR="00320A6E" w:rsidRDefault="00320A6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CF3D58">
        <w:pPr>
          <w:pStyle w:val="a4"/>
          <w:jc w:val="center"/>
        </w:pPr>
        <w:r w:rsidRPr="00CF3D58">
          <w:fldChar w:fldCharType="begin"/>
        </w:r>
        <w:r w:rsidR="003D6285">
          <w:instrText xml:space="preserve"> PAGE   \* MERGEFORMAT </w:instrText>
        </w:r>
        <w:r w:rsidRPr="00CF3D58">
          <w:fldChar w:fldCharType="separate"/>
        </w:r>
        <w:r w:rsidR="00E248B7" w:rsidRPr="00E248B7">
          <w:rPr>
            <w:noProof/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A6E" w:rsidRDefault="00320A6E" w:rsidP="002939F4">
      <w:pPr>
        <w:spacing w:after="0"/>
      </w:pPr>
      <w:r>
        <w:separator/>
      </w:r>
    </w:p>
  </w:footnote>
  <w:footnote w:type="continuationSeparator" w:id="0">
    <w:p w:rsidR="00320A6E" w:rsidRDefault="00320A6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0A6E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03C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color="white">
      <v:fill color="white"/>
    </o:shapedefaults>
    <o:shapelayout v:ext="edit">
      <o:idmap v:ext="edit" data="1,6"/>
      <o:rules v:ext="edit">
        <o:r id="V:Rule85" type="connector" idref="#_x0000_s1891"/>
        <o:r id="V:Rule86" type="connector" idref="#_x0000_s1960"/>
        <o:r id="V:Rule87" type="connector" idref="#_x0000_s1771"/>
        <o:r id="V:Rule88" type="connector" idref="#_x0000_s1834"/>
        <o:r id="V:Rule89" type="connector" idref="#_x0000_s1857"/>
        <o:r id="V:Rule90" type="connector" idref="#_x0000_s1943"/>
        <o:r id="V:Rule91" type="connector" idref="#_x0000_s1802"/>
        <o:r id="V:Rule92" type="connector" idref="#_x0000_s1927"/>
        <o:r id="V:Rule93" type="connector" idref="#_x0000_s2041"/>
        <o:r id="V:Rule94" type="connector" idref="#_x0000_s1854"/>
        <o:r id="V:Rule95" type="connector" idref="#_x0000_s1852"/>
        <o:r id="V:Rule96" type="connector" idref="#_x0000_s1752"/>
        <o:r id="V:Rule97" type="connector" idref="#_x0000_s1940"/>
        <o:r id="V:Rule98" type="connector" idref="#_x0000_s1896"/>
        <o:r id="V:Rule99" type="connector" idref="#_x0000_s1884"/>
        <o:r id="V:Rule100" type="connector" idref="#_x0000_s1824"/>
        <o:r id="V:Rule101" type="connector" idref="#_x0000_s1790"/>
        <o:r id="V:Rule102" type="connector" idref="#_x0000_s1893"/>
        <o:r id="V:Rule103" type="connector" idref="#_x0000_s1869"/>
        <o:r id="V:Rule104" type="connector" idref="#_x0000_s1758"/>
        <o:r id="V:Rule105" type="connector" idref="#_x0000_s1749"/>
        <o:r id="V:Rule106" type="connector" idref="#_x0000_s1806"/>
        <o:r id="V:Rule107" type="connector" idref="#_x0000_s1742"/>
        <o:r id="V:Rule108" type="connector" idref="#_x0000_s1812"/>
        <o:r id="V:Rule109" type="connector" idref="#_x0000_s1777"/>
        <o:r id="V:Rule110" type="connector" idref="#_x0000_s2031"/>
        <o:r id="V:Rule111" type="connector" idref="#_x0000_s1762"/>
        <o:r id="V:Rule112" type="connector" idref="#_x0000_s1878"/>
        <o:r id="V:Rule113" type="connector" idref="#_x0000_s1909"/>
        <o:r id="V:Rule114" type="connector" idref="#_x0000_s1810"/>
        <o:r id="V:Rule115" type="connector" idref="#_x0000_s1830"/>
        <o:r id="V:Rule116" type="connector" idref="#_x0000_s1906"/>
        <o:r id="V:Rule117" type="connector" idref="#_x0000_s1837"/>
        <o:r id="V:Rule118" type="connector" idref="#_x0000_s2019"/>
        <o:r id="V:Rule119" type="connector" idref="#_x0000_s1787"/>
        <o:r id="V:Rule120" type="connector" idref="#_x0000_s1755"/>
        <o:r id="V:Rule121" type="connector" idref="#_x0000_s1838"/>
        <o:r id="V:Rule122" type="connector" idref="#_x0000_s2002"/>
        <o:r id="V:Rule123" type="connector" idref="#_x0000_s1873"/>
        <o:r id="V:Rule124" type="connector" idref="#_x0000_s1935"/>
        <o:r id="V:Rule125" type="connector" idref="#_x0000_s2040"/>
        <o:r id="V:Rule126" type="connector" idref="#_x0000_s1784"/>
        <o:r id="V:Rule127" type="connector" idref="#_x0000_s1842"/>
        <o:r id="V:Rule128" type="connector" idref="#_x0000_s1951"/>
        <o:r id="V:Rule129" type="connector" idref="#_x0000_s1948"/>
        <o:r id="V:Rule130" type="connector" idref="#_x0000_s1964"/>
        <o:r id="V:Rule131" type="connector" idref="#_x0000_s1882"/>
        <o:r id="V:Rule132" type="connector" idref="#_x0000_s1924"/>
        <o:r id="V:Rule133" type="connector" idref="#_x0000_s1781"/>
        <o:r id="V:Rule134" type="connector" idref="#_x0000_s1872"/>
        <o:r id="V:Rule135" type="connector" idref="#_x0000_s1899"/>
        <o:r id="V:Rule136" type="connector" idref="#_x0000_s1768"/>
        <o:r id="V:Rule137" type="connector" idref="#_x0000_s2005"/>
        <o:r id="V:Rule138" type="connector" idref="#_x0000_s1796"/>
        <o:r id="V:Rule139" type="connector" idref="#_x0000_s1955"/>
        <o:r id="V:Rule140" type="connector" idref="#_x0000_s1795"/>
        <o:r id="V:Rule141" type="connector" idref="#_x0000_s2018"/>
        <o:r id="V:Rule142" type="connector" idref="#_x0000_s1843"/>
        <o:r id="V:Rule143" type="connector" idref="#_x0000_s2017"/>
        <o:r id="V:Rule144" type="connector" idref="#_x0000_s2035"/>
        <o:r id="V:Rule145" type="connector" idref="#_x0000_s1774"/>
        <o:r id="V:Rule146" type="connector" idref="#_x0000_s1818"/>
        <o:r id="V:Rule147" type="connector" idref="#_x0000_s1939"/>
        <o:r id="V:Rule148" type="connector" idref="#_x0000_s1740"/>
        <o:r id="V:Rule149" type="connector" idref="#_x0000_s1947"/>
        <o:r id="V:Rule150" type="connector" idref="#_x0000_s1851"/>
        <o:r id="V:Rule151" type="connector" idref="#_x0000_s1816"/>
        <o:r id="V:Rule152" type="connector" idref="#_x0000_s2007"/>
        <o:r id="V:Rule153" type="connector" idref="#_x0000_s1811"/>
        <o:r id="V:Rule154" type="connector" idref="#_x0000_s1999"/>
        <o:r id="V:Rule155" type="connector" idref="#_x0000_s1888"/>
        <o:r id="V:Rule156" type="connector" idref="#_x0000_s1741"/>
        <o:r id="V:Rule157" type="connector" idref="#_x0000_s1952"/>
        <o:r id="V:Rule158" type="connector" idref="#_x0000_s1835"/>
        <o:r id="V:Rule159" type="connector" idref="#_x0000_s1918"/>
        <o:r id="V:Rule160" type="connector" idref="#_x0000_s1876"/>
        <o:r id="V:Rule161" type="connector" idref="#_x0000_s1912"/>
        <o:r id="V:Rule162" type="connector" idref="#_x0000_s1921"/>
        <o:r id="V:Rule163" type="connector" idref="#_x0000_s1765"/>
        <o:r id="V:Rule164" type="connector" idref="#_x0000_s2039"/>
        <o:r id="V:Rule165" type="connector" idref="#_x0000_s1870"/>
        <o:r id="V:Rule166" type="connector" idref="#_x0000_s1820"/>
        <o:r id="V:Rule167" type="connector" idref="#_x0000_s1848"/>
        <o:r id="V:Rule168" type="connector" idref="#_x0000_s194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790C0-2FCF-4FFC-BAA0-272ED90D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27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2146</cp:revision>
  <cp:lastPrinted>2016-07-20T07:43:00Z</cp:lastPrinted>
  <dcterms:created xsi:type="dcterms:W3CDTF">2008-09-11T17:20:00Z</dcterms:created>
  <dcterms:modified xsi:type="dcterms:W3CDTF">2016-07-30T02:21:00Z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