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C195F" w14:textId="77777777" w:rsidR="00DF5830" w:rsidRPr="00DF5830" w:rsidRDefault="00DF5830" w:rsidP="00DF5830">
      <w:pPr>
        <w:shd w:val="clear" w:color="auto" w:fill="FFFFFF"/>
        <w:spacing w:before="100" w:beforeAutospacing="1" w:after="100" w:afterAutospacing="1" w:line="306" w:lineRule="atLeast"/>
        <w:textAlignment w:val="baseline"/>
        <w:outlineLvl w:val="2"/>
        <w:rPr>
          <w:rFonts w:ascii="Source Sans Pro" w:eastAsia="Times New Roman" w:hAnsi="Source Sans Pro" w:cs="Times New Roman"/>
          <w:b/>
          <w:bCs/>
          <w:color w:val="2A2A2A"/>
          <w:sz w:val="27"/>
          <w:szCs w:val="27"/>
          <w:lang w:eastAsia="es-ES_tradnl"/>
        </w:rPr>
      </w:pPr>
      <w:r w:rsidRPr="00DF5830">
        <w:rPr>
          <w:rFonts w:ascii="Source Sans Pro" w:eastAsia="Times New Roman" w:hAnsi="Source Sans Pro" w:cs="Times New Roman"/>
          <w:b/>
          <w:bCs/>
          <w:color w:val="2A2A2A"/>
          <w:sz w:val="27"/>
          <w:szCs w:val="27"/>
          <w:lang w:eastAsia="es-ES_tradnl"/>
        </w:rPr>
        <w:t>Data Resource Profiles</w:t>
      </w:r>
    </w:p>
    <w:p w14:paraId="127631F3" w14:textId="51ECB3C8" w:rsidR="00DF5830" w:rsidRPr="00DF5830" w:rsidRDefault="00DF5830" w:rsidP="00DF5830">
      <w:pPr>
        <w:shd w:val="clear" w:color="auto" w:fill="FFFFFF"/>
        <w:spacing w:before="100" w:beforeAutospacing="1" w:after="100" w:afterAutospacing="1"/>
        <w:textAlignment w:val="baseline"/>
        <w:rPr>
          <w:rFonts w:ascii="Merriweather" w:eastAsia="Times New Roman" w:hAnsi="Merriweather" w:cs="Times New Roman"/>
          <w:color w:val="2A2A2A"/>
          <w:sz w:val="23"/>
          <w:szCs w:val="23"/>
          <w:lang w:eastAsia="es-ES_tradnl"/>
        </w:rPr>
      </w:pPr>
      <w:r w:rsidRPr="00DF5830">
        <w:rPr>
          <w:rFonts w:ascii="Merriweather" w:eastAsia="Times New Roman" w:hAnsi="Merriweather" w:cs="Times New Roman"/>
          <w:color w:val="2A2A2A"/>
          <w:sz w:val="23"/>
          <w:szCs w:val="23"/>
          <w:lang w:eastAsia="es-ES_tradnl"/>
        </w:rPr>
        <w:fldChar w:fldCharType="begin"/>
      </w:r>
      <w:r w:rsidRPr="00DF5830">
        <w:rPr>
          <w:rFonts w:ascii="Merriweather" w:eastAsia="Times New Roman" w:hAnsi="Merriweather" w:cs="Times New Roman"/>
          <w:color w:val="2A2A2A"/>
          <w:sz w:val="23"/>
          <w:szCs w:val="23"/>
          <w:lang w:eastAsia="es-ES_tradnl"/>
        </w:rPr>
        <w:instrText xml:space="preserve"> INCLUDEPICTURE "https://static.primary.prod.gcms.the-infra.com/static/site/ije/image/guidelines_For_General_Instructions/Data+Resource+Profiles_Overall+guidelines_2020?node=53e713b948a7ca878817&amp;version=532375:913f74a615859b24726d" \* MERGEFORMATINET </w:instrText>
      </w:r>
      <w:r w:rsidRPr="00DF5830">
        <w:rPr>
          <w:rFonts w:ascii="Merriweather" w:eastAsia="Times New Roman" w:hAnsi="Merriweather" w:cs="Times New Roman"/>
          <w:color w:val="2A2A2A"/>
          <w:sz w:val="23"/>
          <w:szCs w:val="23"/>
          <w:lang w:eastAsia="es-ES_tradnl"/>
        </w:rPr>
        <w:fldChar w:fldCharType="separate"/>
      </w:r>
      <w:r w:rsidRPr="00DF5830">
        <w:rPr>
          <w:rFonts w:ascii="Merriweather" w:eastAsia="Times New Roman" w:hAnsi="Merriweather" w:cs="Times New Roman"/>
          <w:noProof/>
          <w:color w:val="2A2A2A"/>
          <w:sz w:val="23"/>
          <w:szCs w:val="23"/>
          <w:lang w:eastAsia="es-ES_tradnl"/>
        </w:rPr>
        <w:drawing>
          <wp:inline distT="0" distB="0" distL="0" distR="0" wp14:anchorId="4C42DED7" wp14:editId="56E608CE">
            <wp:extent cx="5400040" cy="1904365"/>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1904365"/>
                    </a:xfrm>
                    <a:prstGeom prst="rect">
                      <a:avLst/>
                    </a:prstGeom>
                    <a:noFill/>
                    <a:ln>
                      <a:noFill/>
                    </a:ln>
                  </pic:spPr>
                </pic:pic>
              </a:graphicData>
            </a:graphic>
          </wp:inline>
        </w:drawing>
      </w:r>
      <w:r w:rsidRPr="00DF5830">
        <w:rPr>
          <w:rFonts w:ascii="Merriweather" w:eastAsia="Times New Roman" w:hAnsi="Merriweather" w:cs="Times New Roman"/>
          <w:color w:val="2A2A2A"/>
          <w:sz w:val="23"/>
          <w:szCs w:val="23"/>
          <w:lang w:eastAsia="es-ES_tradnl"/>
        </w:rPr>
        <w:fldChar w:fldCharType="end"/>
      </w:r>
    </w:p>
    <w:p w14:paraId="5B66E1FC" w14:textId="77777777" w:rsidR="00DF5830" w:rsidRPr="00DF5830" w:rsidRDefault="00DF5830" w:rsidP="00DF5830">
      <w:pPr>
        <w:shd w:val="clear" w:color="auto" w:fill="FFFFFF"/>
        <w:spacing w:before="100" w:beforeAutospacing="1" w:after="100" w:afterAutospacing="1" w:line="306" w:lineRule="atLeast"/>
        <w:textAlignment w:val="baseline"/>
        <w:outlineLvl w:val="3"/>
        <w:rPr>
          <w:rFonts w:ascii="Source Sans Pro" w:eastAsia="Times New Roman" w:hAnsi="Source Sans Pro" w:cs="Times New Roman"/>
          <w:b/>
          <w:bCs/>
          <w:color w:val="2A2A2A"/>
          <w:lang w:eastAsia="es-ES_tradnl"/>
        </w:rPr>
      </w:pPr>
      <w:r w:rsidRPr="00DF5830">
        <w:rPr>
          <w:rFonts w:ascii="Source Sans Pro" w:eastAsia="Times New Roman" w:hAnsi="Source Sans Pro" w:cs="Times New Roman"/>
          <w:b/>
          <w:bCs/>
          <w:color w:val="2A2A2A"/>
          <w:lang w:eastAsia="es-ES_tradnl"/>
        </w:rPr>
        <w:t>Purpose</w:t>
      </w:r>
    </w:p>
    <w:p w14:paraId="14F86EEB" w14:textId="77777777" w:rsidR="00DF5830" w:rsidRPr="00DF5830" w:rsidRDefault="00DF5830" w:rsidP="00DF5830">
      <w:pPr>
        <w:numPr>
          <w:ilvl w:val="0"/>
          <w:numId w:val="1"/>
        </w:numPr>
        <w:shd w:val="clear" w:color="auto" w:fill="FFFFFF"/>
        <w:spacing w:after="120"/>
        <w:textAlignment w:val="baseline"/>
        <w:rPr>
          <w:rFonts w:ascii="Merriweather" w:eastAsia="Times New Roman" w:hAnsi="Merriweather" w:cs="Times New Roman"/>
          <w:color w:val="2A2A2A"/>
          <w:sz w:val="23"/>
          <w:szCs w:val="23"/>
          <w:lang w:val="en-US" w:eastAsia="es-ES_tradnl"/>
        </w:rPr>
      </w:pPr>
      <w:r w:rsidRPr="00DF5830">
        <w:rPr>
          <w:rFonts w:ascii="Merriweather" w:eastAsia="Times New Roman" w:hAnsi="Merriweather" w:cs="Times New Roman"/>
          <w:color w:val="2A2A2A"/>
          <w:sz w:val="23"/>
          <w:szCs w:val="23"/>
          <w:lang w:val="en-US" w:eastAsia="es-ES_tradnl"/>
        </w:rPr>
        <w:t>To make the research community aware of the existence of data resources across the world.</w:t>
      </w:r>
    </w:p>
    <w:p w14:paraId="19C3F634" w14:textId="77777777" w:rsidR="00DF5830" w:rsidRPr="00DF5830" w:rsidRDefault="00DF5830" w:rsidP="00DF5830">
      <w:pPr>
        <w:numPr>
          <w:ilvl w:val="0"/>
          <w:numId w:val="1"/>
        </w:numPr>
        <w:shd w:val="clear" w:color="auto" w:fill="FFFFFF"/>
        <w:spacing w:before="120"/>
        <w:textAlignment w:val="baseline"/>
        <w:rPr>
          <w:rFonts w:ascii="Merriweather" w:eastAsia="Times New Roman" w:hAnsi="Merriweather" w:cs="Times New Roman"/>
          <w:color w:val="2A2A2A"/>
          <w:sz w:val="23"/>
          <w:szCs w:val="23"/>
          <w:lang w:val="en-US" w:eastAsia="es-ES_tradnl"/>
        </w:rPr>
      </w:pPr>
      <w:r w:rsidRPr="00DF5830">
        <w:rPr>
          <w:rFonts w:ascii="Merriweather" w:eastAsia="Times New Roman" w:hAnsi="Merriweather" w:cs="Times New Roman"/>
          <w:color w:val="2A2A2A"/>
          <w:sz w:val="23"/>
          <w:szCs w:val="23"/>
          <w:lang w:val="en-US" w:eastAsia="es-ES_tradnl"/>
        </w:rPr>
        <w:t>To provide enough information to enable researchers to understand the scope of the data resource and how to access and make best use of the data.</w:t>
      </w:r>
    </w:p>
    <w:p w14:paraId="0DC8F1A6" w14:textId="77777777" w:rsidR="00DF5830" w:rsidRPr="00DF5830" w:rsidRDefault="00DF5830" w:rsidP="00DF5830">
      <w:pPr>
        <w:shd w:val="clear" w:color="auto" w:fill="FFFFFF"/>
        <w:spacing w:before="100" w:beforeAutospacing="1" w:after="100" w:afterAutospacing="1"/>
        <w:textAlignment w:val="baseline"/>
        <w:rPr>
          <w:rFonts w:ascii="Merriweather" w:eastAsia="Times New Roman" w:hAnsi="Merriweather" w:cs="Times New Roman"/>
          <w:color w:val="2A2A2A"/>
          <w:sz w:val="23"/>
          <w:szCs w:val="23"/>
          <w:lang w:eastAsia="es-ES_tradnl"/>
        </w:rPr>
      </w:pPr>
      <w:r w:rsidRPr="00DF5830">
        <w:rPr>
          <w:rFonts w:ascii="Merriweather" w:eastAsia="Times New Roman" w:hAnsi="Merriweather" w:cs="Times New Roman"/>
          <w:color w:val="2A2A2A"/>
          <w:sz w:val="23"/>
          <w:szCs w:val="23"/>
          <w:lang w:eastAsia="es-ES_tradnl"/>
        </w:rPr>
        <w:t>Note that:</w:t>
      </w:r>
    </w:p>
    <w:p w14:paraId="70EB2F17" w14:textId="77777777" w:rsidR="00DF5830" w:rsidRPr="00DF5830" w:rsidRDefault="00DF5830" w:rsidP="00DF5830">
      <w:pPr>
        <w:numPr>
          <w:ilvl w:val="0"/>
          <w:numId w:val="2"/>
        </w:numPr>
        <w:shd w:val="clear" w:color="auto" w:fill="FFFFFF"/>
        <w:spacing w:after="120"/>
        <w:textAlignment w:val="baseline"/>
        <w:rPr>
          <w:rFonts w:ascii="Merriweather" w:eastAsia="Times New Roman" w:hAnsi="Merriweather" w:cs="Times New Roman"/>
          <w:color w:val="2A2A2A"/>
          <w:sz w:val="23"/>
          <w:szCs w:val="23"/>
          <w:lang w:val="en-US" w:eastAsia="es-ES_tradnl"/>
        </w:rPr>
      </w:pPr>
      <w:r w:rsidRPr="00DF5830">
        <w:rPr>
          <w:rFonts w:ascii="Merriweather" w:eastAsia="Times New Roman" w:hAnsi="Merriweather" w:cs="Times New Roman"/>
          <w:color w:val="2A2A2A"/>
          <w:sz w:val="23"/>
          <w:szCs w:val="23"/>
          <w:lang w:val="en-US" w:eastAsia="es-ES_tradnl"/>
        </w:rPr>
        <w:t>Submissions for this category include large sets of data from a defined population that could be used for epidemiological research, are available to bona fide researchers and meet the criteria below.</w:t>
      </w:r>
    </w:p>
    <w:p w14:paraId="097A71A1" w14:textId="77777777" w:rsidR="00DF5830" w:rsidRPr="00DF5830" w:rsidRDefault="00DF5830" w:rsidP="00DF5830">
      <w:pPr>
        <w:numPr>
          <w:ilvl w:val="0"/>
          <w:numId w:val="2"/>
        </w:numPr>
        <w:shd w:val="clear" w:color="auto" w:fill="FFFFFF"/>
        <w:spacing w:before="120" w:after="120"/>
        <w:textAlignment w:val="baseline"/>
        <w:rPr>
          <w:rFonts w:ascii="Merriweather" w:eastAsia="Times New Roman" w:hAnsi="Merriweather" w:cs="Times New Roman"/>
          <w:color w:val="2A2A2A"/>
          <w:sz w:val="23"/>
          <w:szCs w:val="23"/>
          <w:lang w:val="en-US" w:eastAsia="es-ES_tradnl"/>
        </w:rPr>
      </w:pPr>
      <w:r w:rsidRPr="00DF5830">
        <w:rPr>
          <w:rFonts w:ascii="Merriweather" w:eastAsia="Times New Roman" w:hAnsi="Merriweather" w:cs="Times New Roman"/>
          <w:color w:val="2A2A2A"/>
          <w:sz w:val="23"/>
          <w:szCs w:val="23"/>
          <w:lang w:val="en-US" w:eastAsia="es-ES_tradnl"/>
        </w:rPr>
        <w:t>Preference will be given to datasets that we believe would be of interest to our readership.</w:t>
      </w:r>
    </w:p>
    <w:p w14:paraId="3965F319" w14:textId="77777777" w:rsidR="00DF5830" w:rsidRPr="00DF5830" w:rsidRDefault="00DF5830" w:rsidP="00DF5830">
      <w:pPr>
        <w:numPr>
          <w:ilvl w:val="0"/>
          <w:numId w:val="2"/>
        </w:numPr>
        <w:shd w:val="clear" w:color="auto" w:fill="FFFFFF"/>
        <w:textAlignment w:val="baseline"/>
        <w:rPr>
          <w:rFonts w:ascii="Merriweather" w:eastAsia="Times New Roman" w:hAnsi="Merriweather" w:cs="Times New Roman"/>
          <w:color w:val="2A2A2A"/>
          <w:sz w:val="23"/>
          <w:szCs w:val="23"/>
          <w:lang w:val="en-US" w:eastAsia="es-ES_tradnl"/>
        </w:rPr>
      </w:pPr>
      <w:r w:rsidRPr="00DF5830">
        <w:rPr>
          <w:rFonts w:ascii="Merriweather" w:eastAsia="Times New Roman" w:hAnsi="Merriweather" w:cs="Times New Roman"/>
          <w:color w:val="2A2A2A"/>
          <w:sz w:val="23"/>
          <w:szCs w:val="23"/>
          <w:lang w:val="en-US" w:eastAsia="es-ES_tradnl"/>
        </w:rPr>
        <w:t>Data collected at global, regional, national or sub-national level may come from cross-sectional surveys, large randomized or quasi-randomized evaluation studies, or bio-resources. Examples include the </w:t>
      </w:r>
      <w:hyperlink r:id="rId6" w:history="1">
        <w:r w:rsidRPr="00DF5830">
          <w:rPr>
            <w:rFonts w:ascii="Merriweather" w:eastAsia="Times New Roman" w:hAnsi="Merriweather" w:cs="Times New Roman"/>
            <w:color w:val="006FB7"/>
            <w:sz w:val="23"/>
            <w:szCs w:val="23"/>
            <w:u w:val="single"/>
            <w:bdr w:val="none" w:sz="0" w:space="0" w:color="auto" w:frame="1"/>
            <w:lang w:val="en-US" w:eastAsia="es-ES_tradnl"/>
          </w:rPr>
          <w:t>European Union Statistics on Income and Living Conditions</w:t>
        </w:r>
      </w:hyperlink>
      <w:r w:rsidRPr="00DF5830">
        <w:rPr>
          <w:rFonts w:ascii="Merriweather" w:eastAsia="Times New Roman" w:hAnsi="Merriweather" w:cs="Times New Roman"/>
          <w:color w:val="2A2A2A"/>
          <w:sz w:val="23"/>
          <w:szCs w:val="23"/>
          <w:lang w:val="en-US" w:eastAsia="es-ES_tradnl"/>
        </w:rPr>
        <w:t> and the </w:t>
      </w:r>
      <w:hyperlink r:id="rId7" w:history="1">
        <w:r w:rsidRPr="00DF5830">
          <w:rPr>
            <w:rFonts w:ascii="Merriweather" w:eastAsia="Times New Roman" w:hAnsi="Merriweather" w:cs="Times New Roman"/>
            <w:color w:val="006FB7"/>
            <w:sz w:val="23"/>
            <w:szCs w:val="23"/>
            <w:u w:val="single"/>
            <w:bdr w:val="none" w:sz="0" w:space="0" w:color="auto" w:frame="1"/>
            <w:lang w:val="en-US" w:eastAsia="es-ES_tradnl"/>
          </w:rPr>
          <w:t>Human Mortality Database</w:t>
        </w:r>
      </w:hyperlink>
      <w:r w:rsidRPr="00DF5830">
        <w:rPr>
          <w:rFonts w:ascii="Merriweather" w:eastAsia="Times New Roman" w:hAnsi="Merriweather" w:cs="Times New Roman"/>
          <w:color w:val="2A2A2A"/>
          <w:sz w:val="23"/>
          <w:szCs w:val="23"/>
          <w:lang w:val="en-US" w:eastAsia="es-ES_tradnl"/>
        </w:rPr>
        <w:t>.</w:t>
      </w:r>
    </w:p>
    <w:p w14:paraId="172BD61C" w14:textId="77777777" w:rsidR="00DF5830" w:rsidRPr="00DF5830" w:rsidRDefault="00DF5830" w:rsidP="00DF5830">
      <w:pPr>
        <w:numPr>
          <w:ilvl w:val="0"/>
          <w:numId w:val="2"/>
        </w:numPr>
        <w:shd w:val="clear" w:color="auto" w:fill="FFFFFF"/>
        <w:spacing w:before="120"/>
        <w:textAlignment w:val="baseline"/>
        <w:rPr>
          <w:rFonts w:ascii="Merriweather" w:eastAsia="Times New Roman" w:hAnsi="Merriweather" w:cs="Times New Roman"/>
          <w:color w:val="2A2A2A"/>
          <w:sz w:val="23"/>
          <w:szCs w:val="23"/>
          <w:lang w:val="en-US" w:eastAsia="es-ES_tradnl"/>
        </w:rPr>
      </w:pPr>
      <w:r w:rsidRPr="00DF5830">
        <w:rPr>
          <w:rFonts w:ascii="Merriweather" w:eastAsia="Times New Roman" w:hAnsi="Merriweather" w:cs="Times New Roman"/>
          <w:color w:val="2A2A2A"/>
          <w:sz w:val="23"/>
          <w:szCs w:val="23"/>
          <w:lang w:val="en-US" w:eastAsia="es-ES_tradnl"/>
        </w:rPr>
        <w:t>This category may include cohorts and data resources that do not meet our criteria for Cohort Profiles.</w:t>
      </w:r>
    </w:p>
    <w:p w14:paraId="07C1A35A" w14:textId="2028CAAD" w:rsidR="00DF5830" w:rsidRPr="00DF5830" w:rsidRDefault="00DF5830" w:rsidP="00DF5830">
      <w:pPr>
        <w:shd w:val="clear" w:color="auto" w:fill="FFFFFF"/>
        <w:spacing w:before="100" w:beforeAutospacing="1" w:after="100" w:afterAutospacing="1"/>
        <w:textAlignment w:val="baseline"/>
        <w:rPr>
          <w:rFonts w:ascii="Merriweather" w:eastAsia="Times New Roman" w:hAnsi="Merriweather" w:cs="Times New Roman"/>
          <w:color w:val="2A2A2A"/>
          <w:sz w:val="23"/>
          <w:szCs w:val="23"/>
          <w:lang w:eastAsia="es-ES_tradnl"/>
        </w:rPr>
      </w:pPr>
      <w:r w:rsidRPr="00DF5830">
        <w:rPr>
          <w:rFonts w:ascii="Merriweather" w:eastAsia="Times New Roman" w:hAnsi="Merriweather" w:cs="Times New Roman"/>
          <w:color w:val="2A2A2A"/>
          <w:sz w:val="23"/>
          <w:szCs w:val="23"/>
          <w:lang w:eastAsia="es-ES_tradnl"/>
        </w:rPr>
        <w:lastRenderedPageBreak/>
        <w:fldChar w:fldCharType="begin"/>
      </w:r>
      <w:r w:rsidRPr="00DF5830">
        <w:rPr>
          <w:rFonts w:ascii="Merriweather" w:eastAsia="Times New Roman" w:hAnsi="Merriweather" w:cs="Times New Roman"/>
          <w:color w:val="2A2A2A"/>
          <w:sz w:val="23"/>
          <w:szCs w:val="23"/>
          <w:lang w:eastAsia="es-ES_tradnl"/>
        </w:rPr>
        <w:instrText xml:space="preserve"> INCLUDEPICTURE "https://static.primary.prod.gcms.the-infra.com/static/site/ije/image/guidelines_For_General_Instructions/Data+Resource+Profiles_Checklist+of+essential+criteria_2020?node=001b48bdfe159fb45dc3&amp;version=532375:913f74a615859b24726d" \* MERGEFORMATINET </w:instrText>
      </w:r>
      <w:r w:rsidRPr="00DF5830">
        <w:rPr>
          <w:rFonts w:ascii="Merriweather" w:eastAsia="Times New Roman" w:hAnsi="Merriweather" w:cs="Times New Roman"/>
          <w:color w:val="2A2A2A"/>
          <w:sz w:val="23"/>
          <w:szCs w:val="23"/>
          <w:lang w:eastAsia="es-ES_tradnl"/>
        </w:rPr>
        <w:fldChar w:fldCharType="separate"/>
      </w:r>
      <w:r w:rsidRPr="00DF5830">
        <w:rPr>
          <w:rFonts w:ascii="Merriweather" w:eastAsia="Times New Roman" w:hAnsi="Merriweather" w:cs="Times New Roman"/>
          <w:noProof/>
          <w:color w:val="2A2A2A"/>
          <w:sz w:val="23"/>
          <w:szCs w:val="23"/>
          <w:lang w:eastAsia="es-ES_tradnl"/>
        </w:rPr>
        <w:drawing>
          <wp:inline distT="0" distB="0" distL="0" distR="0" wp14:anchorId="3C6BC342" wp14:editId="27CA8A4F">
            <wp:extent cx="5400040" cy="27565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756535"/>
                    </a:xfrm>
                    <a:prstGeom prst="rect">
                      <a:avLst/>
                    </a:prstGeom>
                    <a:noFill/>
                    <a:ln>
                      <a:noFill/>
                    </a:ln>
                  </pic:spPr>
                </pic:pic>
              </a:graphicData>
            </a:graphic>
          </wp:inline>
        </w:drawing>
      </w:r>
      <w:r w:rsidRPr="00DF5830">
        <w:rPr>
          <w:rFonts w:ascii="Merriweather" w:eastAsia="Times New Roman" w:hAnsi="Merriweather" w:cs="Times New Roman"/>
          <w:color w:val="2A2A2A"/>
          <w:sz w:val="23"/>
          <w:szCs w:val="23"/>
          <w:lang w:eastAsia="es-ES_tradnl"/>
        </w:rPr>
        <w:fldChar w:fldCharType="end"/>
      </w:r>
    </w:p>
    <w:p w14:paraId="2AA4697F" w14:textId="77777777" w:rsidR="00DF5830" w:rsidRPr="00DF5830" w:rsidRDefault="00DF5830" w:rsidP="00DF5830">
      <w:pPr>
        <w:shd w:val="clear" w:color="auto" w:fill="FFFFFF"/>
        <w:spacing w:beforeAutospacing="1" w:afterAutospacing="1"/>
        <w:textAlignment w:val="baseline"/>
        <w:rPr>
          <w:rFonts w:ascii="Merriweather" w:eastAsia="Times New Roman" w:hAnsi="Merriweather" w:cs="Times New Roman"/>
          <w:color w:val="2A2A2A"/>
          <w:sz w:val="23"/>
          <w:szCs w:val="23"/>
          <w:lang w:val="en-US" w:eastAsia="es-ES_tradnl"/>
        </w:rPr>
      </w:pPr>
      <w:r w:rsidRPr="00DF5830">
        <w:rPr>
          <w:rFonts w:ascii="Merriweather" w:eastAsia="Times New Roman" w:hAnsi="Merriweather" w:cs="Times New Roman"/>
          <w:color w:val="2A2A2A"/>
          <w:sz w:val="23"/>
          <w:szCs w:val="23"/>
          <w:lang w:val="en-US" w:eastAsia="es-ES_tradnl"/>
        </w:rPr>
        <w:t>Data Resource Profiles will be published online only. They will still be assigned to an </w:t>
      </w:r>
      <w:r w:rsidRPr="00DF5830">
        <w:rPr>
          <w:rFonts w:ascii="inherit" w:eastAsia="Times New Roman" w:hAnsi="inherit" w:cs="Times New Roman"/>
          <w:i/>
          <w:iCs/>
          <w:color w:val="2A2A2A"/>
          <w:sz w:val="23"/>
          <w:szCs w:val="23"/>
          <w:bdr w:val="none" w:sz="0" w:space="0" w:color="auto" w:frame="1"/>
          <w:lang w:val="en-US" w:eastAsia="es-ES_tradnl"/>
        </w:rPr>
        <w:t>IJE  </w:t>
      </w:r>
      <w:r w:rsidRPr="00DF5830">
        <w:rPr>
          <w:rFonts w:ascii="Merriweather" w:eastAsia="Times New Roman" w:hAnsi="Merriweather" w:cs="Times New Roman"/>
          <w:color w:val="2A2A2A"/>
          <w:sz w:val="23"/>
          <w:szCs w:val="23"/>
          <w:lang w:val="en-US" w:eastAsia="es-ES_tradnl"/>
        </w:rPr>
        <w:t>issue and listed as ePages in the issue’s Table of Contents.</w:t>
      </w:r>
    </w:p>
    <w:p w14:paraId="006FF0A7" w14:textId="77777777" w:rsidR="00DF5830" w:rsidRPr="00DF5830" w:rsidRDefault="00DF5830" w:rsidP="00DF5830">
      <w:pPr>
        <w:shd w:val="clear" w:color="auto" w:fill="FFFFFF"/>
        <w:spacing w:before="100" w:beforeAutospacing="1" w:after="100" w:afterAutospacing="1" w:line="306" w:lineRule="atLeast"/>
        <w:textAlignment w:val="baseline"/>
        <w:outlineLvl w:val="3"/>
        <w:rPr>
          <w:rFonts w:ascii="Source Sans Pro" w:eastAsia="Times New Roman" w:hAnsi="Source Sans Pro" w:cs="Times New Roman"/>
          <w:b/>
          <w:bCs/>
          <w:color w:val="2A2A2A"/>
          <w:lang w:val="en-US" w:eastAsia="es-ES_tradnl"/>
        </w:rPr>
      </w:pPr>
      <w:r w:rsidRPr="00DF5830">
        <w:rPr>
          <w:rFonts w:ascii="Source Sans Pro" w:eastAsia="Times New Roman" w:hAnsi="Source Sans Pro" w:cs="Times New Roman"/>
          <w:b/>
          <w:bCs/>
          <w:color w:val="2A2A2A"/>
          <w:lang w:val="en-US" w:eastAsia="es-ES_tradnl"/>
        </w:rPr>
        <w:t>Format</w:t>
      </w:r>
    </w:p>
    <w:p w14:paraId="616FDD08" w14:textId="77777777" w:rsidR="00DF5830" w:rsidRPr="00DF5830" w:rsidRDefault="00DF5830" w:rsidP="00DF5830">
      <w:pPr>
        <w:shd w:val="clear" w:color="auto" w:fill="FFFFFF"/>
        <w:spacing w:beforeAutospacing="1" w:afterAutospacing="1"/>
        <w:textAlignment w:val="baseline"/>
        <w:rPr>
          <w:rFonts w:ascii="Merriweather" w:eastAsia="Times New Roman" w:hAnsi="Merriweather" w:cs="Times New Roman"/>
          <w:color w:val="2A2A2A"/>
          <w:sz w:val="23"/>
          <w:szCs w:val="23"/>
          <w:lang w:val="en-US" w:eastAsia="es-ES_tradnl"/>
        </w:rPr>
      </w:pPr>
      <w:r w:rsidRPr="00DF5830">
        <w:rPr>
          <w:rFonts w:ascii="Merriweather" w:eastAsia="Times New Roman" w:hAnsi="Merriweather" w:cs="Times New Roman"/>
          <w:color w:val="2A2A2A"/>
          <w:sz w:val="23"/>
          <w:szCs w:val="23"/>
          <w:lang w:val="en-US" w:eastAsia="es-ES_tradnl"/>
        </w:rPr>
        <w:t>Please refer also to the general </w:t>
      </w:r>
      <w:hyperlink r:id="rId9" w:anchor="Manuscript%20preparation" w:history="1">
        <w:r w:rsidRPr="00DF5830">
          <w:rPr>
            <w:rFonts w:ascii="Merriweather" w:eastAsia="Times New Roman" w:hAnsi="Merriweather" w:cs="Times New Roman"/>
            <w:color w:val="006FB7"/>
            <w:sz w:val="23"/>
            <w:szCs w:val="23"/>
            <w:u w:val="single"/>
            <w:bdr w:val="none" w:sz="0" w:space="0" w:color="auto" w:frame="1"/>
            <w:lang w:val="en-US" w:eastAsia="es-ES_tradnl"/>
          </w:rPr>
          <w:t>Manuscript Preparation </w:t>
        </w:r>
      </w:hyperlink>
      <w:r w:rsidRPr="00DF5830">
        <w:rPr>
          <w:rFonts w:ascii="Merriweather" w:eastAsia="Times New Roman" w:hAnsi="Merriweather" w:cs="Times New Roman"/>
          <w:color w:val="2A2A2A"/>
          <w:sz w:val="23"/>
          <w:szCs w:val="23"/>
          <w:lang w:val="en-US" w:eastAsia="es-ES_tradnl"/>
        </w:rPr>
        <w:t>instructions.</w:t>
      </w:r>
    </w:p>
    <w:p w14:paraId="1B7F55C0" w14:textId="77777777" w:rsidR="00DF5830" w:rsidRPr="00DF5830" w:rsidRDefault="00DF5830" w:rsidP="00DF5830">
      <w:pPr>
        <w:shd w:val="clear" w:color="auto" w:fill="FFFFFF"/>
        <w:spacing w:beforeAutospacing="1" w:afterAutospacing="1"/>
        <w:textAlignment w:val="baseline"/>
        <w:rPr>
          <w:rFonts w:ascii="Merriweather" w:eastAsia="Times New Roman" w:hAnsi="Merriweather" w:cs="Times New Roman"/>
          <w:color w:val="2A2A2A"/>
          <w:sz w:val="23"/>
          <w:szCs w:val="23"/>
          <w:lang w:val="en-US" w:eastAsia="es-ES_tradnl"/>
        </w:rPr>
      </w:pPr>
      <w:r w:rsidRPr="00DF5830">
        <w:rPr>
          <w:rFonts w:ascii="inherit" w:eastAsia="Times New Roman" w:hAnsi="inherit" w:cs="Times New Roman"/>
          <w:i/>
          <w:iCs/>
          <w:color w:val="2A2A2A"/>
          <w:sz w:val="23"/>
          <w:szCs w:val="23"/>
          <w:bdr w:val="none" w:sz="0" w:space="0" w:color="auto" w:frame="1"/>
          <w:lang w:val="en-US" w:eastAsia="es-ES_tradnl"/>
        </w:rPr>
        <w:t>Title</w:t>
      </w:r>
      <w:r w:rsidRPr="00DF5830">
        <w:rPr>
          <w:rFonts w:ascii="Merriweather" w:eastAsia="Times New Roman" w:hAnsi="Merriweather" w:cs="Times New Roman"/>
          <w:color w:val="2A2A2A"/>
          <w:sz w:val="23"/>
          <w:szCs w:val="23"/>
          <w:lang w:val="en-US" w:eastAsia="es-ES_tradnl"/>
        </w:rPr>
        <w:t>: Begin with ‘Data Resource Profile:’ followed by your title (which is usually the name of the database) and then any acronym in parentheses.</w:t>
      </w:r>
    </w:p>
    <w:p w14:paraId="7F095D85" w14:textId="77777777" w:rsidR="00DF5830" w:rsidRPr="00DF5830" w:rsidRDefault="00DF5830" w:rsidP="00DF5830">
      <w:pPr>
        <w:shd w:val="clear" w:color="auto" w:fill="FFFFFF"/>
        <w:spacing w:beforeAutospacing="1" w:afterAutospacing="1"/>
        <w:textAlignment w:val="baseline"/>
        <w:rPr>
          <w:rFonts w:ascii="Merriweather" w:eastAsia="Times New Roman" w:hAnsi="Merriweather" w:cs="Times New Roman"/>
          <w:color w:val="2A2A2A"/>
          <w:sz w:val="23"/>
          <w:szCs w:val="23"/>
          <w:lang w:val="en-US" w:eastAsia="es-ES_tradnl"/>
        </w:rPr>
      </w:pPr>
      <w:r w:rsidRPr="00DF5830">
        <w:rPr>
          <w:rFonts w:ascii="inherit" w:eastAsia="Times New Roman" w:hAnsi="inherit" w:cs="Times New Roman"/>
          <w:i/>
          <w:iCs/>
          <w:color w:val="2A2A2A"/>
          <w:sz w:val="23"/>
          <w:szCs w:val="23"/>
          <w:bdr w:val="none" w:sz="0" w:space="0" w:color="auto" w:frame="1"/>
          <w:lang w:val="en-US" w:eastAsia="es-ES_tradnl"/>
        </w:rPr>
        <w:t>Author List</w:t>
      </w:r>
      <w:r w:rsidRPr="00DF5830">
        <w:rPr>
          <w:rFonts w:ascii="Merriweather" w:eastAsia="Times New Roman" w:hAnsi="Merriweather" w:cs="Times New Roman"/>
          <w:color w:val="2A2A2A"/>
          <w:sz w:val="23"/>
          <w:szCs w:val="23"/>
          <w:lang w:val="en-US" w:eastAsia="es-ES_tradnl"/>
        </w:rPr>
        <w:t>: (see </w:t>
      </w:r>
      <w:hyperlink r:id="rId10" w:anchor="General%20instructions" w:history="1">
        <w:r w:rsidRPr="00DF5830">
          <w:rPr>
            <w:rFonts w:ascii="Merriweather" w:eastAsia="Times New Roman" w:hAnsi="Merriweather" w:cs="Times New Roman"/>
            <w:color w:val="006FB7"/>
            <w:sz w:val="23"/>
            <w:szCs w:val="23"/>
            <w:u w:val="single"/>
            <w:bdr w:val="none" w:sz="0" w:space="0" w:color="auto" w:frame="1"/>
            <w:lang w:val="en-US" w:eastAsia="es-ES_tradnl"/>
          </w:rPr>
          <w:t>General instructions</w:t>
        </w:r>
      </w:hyperlink>
      <w:r w:rsidRPr="00DF5830">
        <w:rPr>
          <w:rFonts w:ascii="Merriweather" w:eastAsia="Times New Roman" w:hAnsi="Merriweather" w:cs="Times New Roman"/>
          <w:color w:val="2A2A2A"/>
          <w:sz w:val="23"/>
          <w:szCs w:val="23"/>
          <w:lang w:val="en-US" w:eastAsia="es-ES_tradnl"/>
        </w:rPr>
        <w:t>).</w:t>
      </w:r>
    </w:p>
    <w:p w14:paraId="2555AF0E" w14:textId="77777777" w:rsidR="00DF5830" w:rsidRPr="00DF5830" w:rsidRDefault="00DF5830" w:rsidP="00DF5830">
      <w:pPr>
        <w:shd w:val="clear" w:color="auto" w:fill="FFFFFF"/>
        <w:spacing w:beforeAutospacing="1" w:afterAutospacing="1"/>
        <w:textAlignment w:val="baseline"/>
        <w:rPr>
          <w:rFonts w:ascii="Merriweather" w:eastAsia="Times New Roman" w:hAnsi="Merriweather" w:cs="Times New Roman"/>
          <w:color w:val="2A2A2A"/>
          <w:sz w:val="23"/>
          <w:szCs w:val="23"/>
          <w:lang w:val="en-US" w:eastAsia="es-ES_tradnl"/>
        </w:rPr>
      </w:pPr>
      <w:r w:rsidRPr="00DF5830">
        <w:rPr>
          <w:rFonts w:ascii="inherit" w:eastAsia="Times New Roman" w:hAnsi="inherit" w:cs="Times New Roman"/>
          <w:i/>
          <w:iCs/>
          <w:color w:val="2A2A2A"/>
          <w:sz w:val="23"/>
          <w:szCs w:val="23"/>
          <w:bdr w:val="none" w:sz="0" w:space="0" w:color="auto" w:frame="1"/>
          <w:lang w:val="en-US" w:eastAsia="es-ES_tradnl"/>
        </w:rPr>
        <w:t>Note</w:t>
      </w:r>
      <w:r w:rsidRPr="00DF5830">
        <w:rPr>
          <w:rFonts w:ascii="Merriweather" w:eastAsia="Times New Roman" w:hAnsi="Merriweather" w:cs="Times New Roman"/>
          <w:color w:val="2A2A2A"/>
          <w:sz w:val="23"/>
          <w:szCs w:val="23"/>
          <w:lang w:val="en-US" w:eastAsia="es-ES_tradnl"/>
        </w:rPr>
        <w:t>: Data Resource Profiles do not require an Abstract. Please enter the ‘Key Features’ (see below) into the Abstract field in the ScholarOne website during submission, and select Not Applicable when asked about Key Messages.</w:t>
      </w:r>
    </w:p>
    <w:p w14:paraId="632969C0" w14:textId="77777777" w:rsidR="00DF5830" w:rsidRPr="00DF5830" w:rsidRDefault="00DF5830" w:rsidP="00DF5830">
      <w:pPr>
        <w:shd w:val="clear" w:color="auto" w:fill="FFFFFF"/>
        <w:spacing w:before="100" w:beforeAutospacing="1" w:after="100" w:afterAutospacing="1" w:line="306" w:lineRule="atLeast"/>
        <w:textAlignment w:val="baseline"/>
        <w:outlineLvl w:val="3"/>
        <w:rPr>
          <w:rFonts w:ascii="Source Sans Pro" w:eastAsia="Times New Roman" w:hAnsi="Source Sans Pro" w:cs="Times New Roman"/>
          <w:b/>
          <w:bCs/>
          <w:color w:val="2A2A2A"/>
          <w:lang w:val="en-US" w:eastAsia="es-ES_tradnl"/>
        </w:rPr>
      </w:pPr>
      <w:r w:rsidRPr="00DF5830">
        <w:rPr>
          <w:rFonts w:ascii="Source Sans Pro" w:eastAsia="Times New Roman" w:hAnsi="Source Sans Pro" w:cs="Times New Roman"/>
          <w:b/>
          <w:bCs/>
          <w:color w:val="2A2A2A"/>
          <w:lang w:val="en-US" w:eastAsia="es-ES_tradnl"/>
        </w:rPr>
        <w:t>Data Resource Profile sub-headings</w:t>
      </w:r>
    </w:p>
    <w:p w14:paraId="46CAD765" w14:textId="77777777" w:rsidR="00DF5830" w:rsidRPr="00DF5830" w:rsidRDefault="00DF5830" w:rsidP="00DF5830">
      <w:pPr>
        <w:shd w:val="clear" w:color="auto" w:fill="FFFFFF"/>
        <w:spacing w:before="100" w:beforeAutospacing="1" w:after="100" w:afterAutospacing="1"/>
        <w:textAlignment w:val="baseline"/>
        <w:rPr>
          <w:rFonts w:ascii="Merriweather" w:eastAsia="Times New Roman" w:hAnsi="Merriweather" w:cs="Times New Roman"/>
          <w:color w:val="2A2A2A"/>
          <w:sz w:val="23"/>
          <w:szCs w:val="23"/>
          <w:lang w:val="en-US" w:eastAsia="es-ES_tradnl"/>
        </w:rPr>
      </w:pPr>
      <w:r w:rsidRPr="00DF5830">
        <w:rPr>
          <w:rFonts w:ascii="Merriweather" w:eastAsia="Times New Roman" w:hAnsi="Merriweather" w:cs="Times New Roman"/>
          <w:color w:val="2A2A2A"/>
          <w:sz w:val="23"/>
          <w:szCs w:val="23"/>
          <w:lang w:val="en-US" w:eastAsia="es-ES_tradnl"/>
        </w:rPr>
        <w:t>Data Resource Profiles must use the following sub-headings and address the criteria described under each sub-heading (Data Resource Profiles that fail to meet these criteria will not be published):</w:t>
      </w:r>
    </w:p>
    <w:p w14:paraId="6EB62610" w14:textId="77777777" w:rsidR="00DF5830" w:rsidRPr="00DF5830" w:rsidRDefault="00DF5830" w:rsidP="00DF5830">
      <w:pPr>
        <w:shd w:val="clear" w:color="auto" w:fill="FFFFFF"/>
        <w:spacing w:before="100" w:beforeAutospacing="1" w:after="100" w:afterAutospacing="1" w:line="306" w:lineRule="atLeast"/>
        <w:textAlignment w:val="baseline"/>
        <w:outlineLvl w:val="3"/>
        <w:rPr>
          <w:rFonts w:ascii="Source Sans Pro" w:eastAsia="Times New Roman" w:hAnsi="Source Sans Pro" w:cs="Times New Roman"/>
          <w:b/>
          <w:bCs/>
          <w:color w:val="2A2A2A"/>
          <w:lang w:val="en-US" w:eastAsia="es-ES_tradnl"/>
        </w:rPr>
      </w:pPr>
      <w:r w:rsidRPr="00DF5830">
        <w:rPr>
          <w:rFonts w:ascii="Source Sans Pro" w:eastAsia="Times New Roman" w:hAnsi="Source Sans Pro" w:cs="Times New Roman"/>
          <w:b/>
          <w:bCs/>
          <w:color w:val="2A2A2A"/>
          <w:lang w:val="en-US" w:eastAsia="es-ES_tradnl"/>
        </w:rPr>
        <w:t>Key Features</w:t>
      </w:r>
    </w:p>
    <w:p w14:paraId="5CDF34FD" w14:textId="77777777" w:rsidR="00DF5830" w:rsidRPr="00DF5830" w:rsidRDefault="00DF5830" w:rsidP="00DF5830">
      <w:pPr>
        <w:shd w:val="clear" w:color="auto" w:fill="FFFFFF"/>
        <w:spacing w:before="100" w:beforeAutospacing="1" w:after="100" w:afterAutospacing="1"/>
        <w:textAlignment w:val="baseline"/>
        <w:rPr>
          <w:rFonts w:ascii="Merriweather" w:eastAsia="Times New Roman" w:hAnsi="Merriweather" w:cs="Times New Roman"/>
          <w:color w:val="2A2A2A"/>
          <w:sz w:val="23"/>
          <w:szCs w:val="23"/>
          <w:lang w:val="en-US" w:eastAsia="es-ES_tradnl"/>
        </w:rPr>
      </w:pPr>
      <w:r w:rsidRPr="00DF5830">
        <w:rPr>
          <w:rFonts w:ascii="Merriweather" w:eastAsia="Times New Roman" w:hAnsi="Merriweather" w:cs="Times New Roman"/>
          <w:color w:val="2A2A2A"/>
          <w:sz w:val="23"/>
          <w:szCs w:val="23"/>
          <w:lang w:val="en-US" w:eastAsia="es-ES_tradnl"/>
        </w:rPr>
        <w:t>Key Features about the Data Resource Profile should be provided as bullet points of no more than 200 words in total. Points should be written as complete sentences that cover the following information:</w:t>
      </w:r>
    </w:p>
    <w:p w14:paraId="7A00AD71" w14:textId="77777777" w:rsidR="00DF5830" w:rsidRPr="00DF5830" w:rsidRDefault="00DF5830" w:rsidP="00DF5830">
      <w:pPr>
        <w:numPr>
          <w:ilvl w:val="0"/>
          <w:numId w:val="3"/>
        </w:numPr>
        <w:shd w:val="clear" w:color="auto" w:fill="FFFFFF"/>
        <w:spacing w:after="120"/>
        <w:textAlignment w:val="baseline"/>
        <w:rPr>
          <w:rFonts w:ascii="Merriweather" w:eastAsia="Times New Roman" w:hAnsi="Merriweather" w:cs="Times New Roman"/>
          <w:color w:val="2A2A2A"/>
          <w:sz w:val="23"/>
          <w:szCs w:val="23"/>
          <w:lang w:val="en-US" w:eastAsia="es-ES_tradnl"/>
        </w:rPr>
      </w:pPr>
      <w:r w:rsidRPr="00DF5830">
        <w:rPr>
          <w:rFonts w:ascii="Merriweather" w:eastAsia="Times New Roman" w:hAnsi="Merriweather" w:cs="Times New Roman"/>
          <w:color w:val="2A2A2A"/>
          <w:sz w:val="23"/>
          <w:szCs w:val="23"/>
          <w:lang w:val="en-US" w:eastAsia="es-ES_tradnl"/>
        </w:rPr>
        <w:t>why the dataset was established and unique feature(s);</w:t>
      </w:r>
    </w:p>
    <w:p w14:paraId="070AB899" w14:textId="77777777" w:rsidR="00DF5830" w:rsidRPr="00DF5830" w:rsidRDefault="00DF5830" w:rsidP="00DF5830">
      <w:pPr>
        <w:numPr>
          <w:ilvl w:val="0"/>
          <w:numId w:val="3"/>
        </w:numPr>
        <w:shd w:val="clear" w:color="auto" w:fill="FFFFFF"/>
        <w:spacing w:before="120" w:after="120"/>
        <w:textAlignment w:val="baseline"/>
        <w:rPr>
          <w:rFonts w:ascii="Merriweather" w:eastAsia="Times New Roman" w:hAnsi="Merriweather" w:cs="Times New Roman"/>
          <w:color w:val="2A2A2A"/>
          <w:sz w:val="23"/>
          <w:szCs w:val="23"/>
          <w:lang w:val="en-US" w:eastAsia="es-ES_tradnl"/>
        </w:rPr>
      </w:pPr>
      <w:r w:rsidRPr="00DF5830">
        <w:rPr>
          <w:rFonts w:ascii="Merriweather" w:eastAsia="Times New Roman" w:hAnsi="Merriweather" w:cs="Times New Roman"/>
          <w:color w:val="2A2A2A"/>
          <w:sz w:val="23"/>
          <w:szCs w:val="23"/>
          <w:lang w:val="en-US" w:eastAsia="es-ES_tradnl"/>
        </w:rPr>
        <w:lastRenderedPageBreak/>
        <w:t>location, year(s) of baseline data collection, number of participants at baseline, the composition of the study population including age range;</w:t>
      </w:r>
    </w:p>
    <w:p w14:paraId="41587277" w14:textId="77777777" w:rsidR="00DF5830" w:rsidRPr="00DF5830" w:rsidRDefault="00DF5830" w:rsidP="00DF5830">
      <w:pPr>
        <w:numPr>
          <w:ilvl w:val="0"/>
          <w:numId w:val="3"/>
        </w:numPr>
        <w:shd w:val="clear" w:color="auto" w:fill="FFFFFF"/>
        <w:spacing w:before="120" w:after="120"/>
        <w:textAlignment w:val="baseline"/>
        <w:rPr>
          <w:rFonts w:ascii="Merriweather" w:eastAsia="Times New Roman" w:hAnsi="Merriweather" w:cs="Times New Roman"/>
          <w:color w:val="2A2A2A"/>
          <w:sz w:val="23"/>
          <w:szCs w:val="23"/>
          <w:lang w:val="en-US" w:eastAsia="es-ES_tradnl"/>
        </w:rPr>
      </w:pPr>
      <w:r w:rsidRPr="00DF5830">
        <w:rPr>
          <w:rFonts w:ascii="Merriweather" w:eastAsia="Times New Roman" w:hAnsi="Merriweather" w:cs="Times New Roman"/>
          <w:color w:val="2A2A2A"/>
          <w:sz w:val="23"/>
          <w:szCs w:val="23"/>
          <w:lang w:val="en-US" w:eastAsia="es-ES_tradnl"/>
        </w:rPr>
        <w:t>frequency of follow-up, response rates if repeat cross-sectional surveys, a brief description of any data linkage, the number of participants currently in the dataset;</w:t>
      </w:r>
    </w:p>
    <w:p w14:paraId="792C1180" w14:textId="77777777" w:rsidR="00DF5830" w:rsidRPr="00DF5830" w:rsidRDefault="00DF5830" w:rsidP="00DF5830">
      <w:pPr>
        <w:numPr>
          <w:ilvl w:val="0"/>
          <w:numId w:val="3"/>
        </w:numPr>
        <w:shd w:val="clear" w:color="auto" w:fill="FFFFFF"/>
        <w:spacing w:before="120" w:after="120"/>
        <w:textAlignment w:val="baseline"/>
        <w:rPr>
          <w:rFonts w:ascii="Merriweather" w:eastAsia="Times New Roman" w:hAnsi="Merriweather" w:cs="Times New Roman"/>
          <w:color w:val="2A2A2A"/>
          <w:sz w:val="23"/>
          <w:szCs w:val="23"/>
          <w:lang w:val="en-US" w:eastAsia="es-ES_tradnl"/>
        </w:rPr>
      </w:pPr>
      <w:r w:rsidRPr="00DF5830">
        <w:rPr>
          <w:rFonts w:ascii="Merriweather" w:eastAsia="Times New Roman" w:hAnsi="Merriweather" w:cs="Times New Roman"/>
          <w:color w:val="2A2A2A"/>
          <w:sz w:val="23"/>
          <w:szCs w:val="23"/>
          <w:lang w:val="en-US" w:eastAsia="es-ES_tradnl"/>
        </w:rPr>
        <w:t>main categories of data collected; and</w:t>
      </w:r>
    </w:p>
    <w:p w14:paraId="2AA84646" w14:textId="77777777" w:rsidR="00DF5830" w:rsidRPr="00DF5830" w:rsidRDefault="00DF5830" w:rsidP="00DF5830">
      <w:pPr>
        <w:numPr>
          <w:ilvl w:val="0"/>
          <w:numId w:val="3"/>
        </w:numPr>
        <w:shd w:val="clear" w:color="auto" w:fill="FFFFFF"/>
        <w:spacing w:before="120"/>
        <w:textAlignment w:val="baseline"/>
        <w:rPr>
          <w:rFonts w:ascii="Merriweather" w:eastAsia="Times New Roman" w:hAnsi="Merriweather" w:cs="Times New Roman"/>
          <w:color w:val="2A2A2A"/>
          <w:sz w:val="23"/>
          <w:szCs w:val="23"/>
          <w:lang w:eastAsia="es-ES_tradnl"/>
        </w:rPr>
      </w:pPr>
      <w:r w:rsidRPr="00DF5830">
        <w:rPr>
          <w:rFonts w:ascii="Merriweather" w:eastAsia="Times New Roman" w:hAnsi="Merriweather" w:cs="Times New Roman"/>
          <w:color w:val="2A2A2A"/>
          <w:sz w:val="23"/>
          <w:szCs w:val="23"/>
          <w:lang w:eastAsia="es-ES_tradnl"/>
        </w:rPr>
        <w:t>collaboration and data access.</w:t>
      </w:r>
    </w:p>
    <w:p w14:paraId="149CBF21" w14:textId="0D7A498C" w:rsidR="00DF5830" w:rsidRPr="00DF5830" w:rsidRDefault="00DF5830" w:rsidP="00DF5830">
      <w:pPr>
        <w:shd w:val="clear" w:color="auto" w:fill="FFFFFF"/>
        <w:spacing w:before="100" w:beforeAutospacing="1" w:after="100" w:afterAutospacing="1"/>
        <w:textAlignment w:val="baseline"/>
        <w:rPr>
          <w:rFonts w:ascii="Merriweather" w:eastAsia="Times New Roman" w:hAnsi="Merriweather" w:cs="Times New Roman"/>
          <w:color w:val="2A2A2A"/>
          <w:sz w:val="23"/>
          <w:szCs w:val="23"/>
          <w:lang w:eastAsia="es-ES_tradnl"/>
        </w:rPr>
      </w:pPr>
      <w:r w:rsidRPr="00DF5830">
        <w:rPr>
          <w:rFonts w:ascii="Merriweather" w:eastAsia="Times New Roman" w:hAnsi="Merriweather" w:cs="Times New Roman"/>
          <w:color w:val="2A2A2A"/>
          <w:sz w:val="23"/>
          <w:szCs w:val="23"/>
          <w:lang w:eastAsia="es-ES_tradnl"/>
        </w:rPr>
        <w:fldChar w:fldCharType="begin"/>
      </w:r>
      <w:r w:rsidRPr="00DF5830">
        <w:rPr>
          <w:rFonts w:ascii="Merriweather" w:eastAsia="Times New Roman" w:hAnsi="Merriweather" w:cs="Times New Roman"/>
          <w:color w:val="2A2A2A"/>
          <w:sz w:val="23"/>
          <w:szCs w:val="23"/>
          <w:lang w:eastAsia="es-ES_tradnl"/>
        </w:rPr>
        <w:instrText xml:space="preserve"> INCLUDEPICTURE "https://static.primary.prod.gcms.the-infra.com/static/site/ije/image/guidelines_For_General_Instructions/Data+Resource+Profiles_Example+of+Key+Features+for+a+Data+Resource+Profile_2020?node=2a3a02714f558abd73fd&amp;version=532375:913f74a615859b24726d" \* MERGEFORMATINET </w:instrText>
      </w:r>
      <w:r w:rsidRPr="00DF5830">
        <w:rPr>
          <w:rFonts w:ascii="Merriweather" w:eastAsia="Times New Roman" w:hAnsi="Merriweather" w:cs="Times New Roman"/>
          <w:color w:val="2A2A2A"/>
          <w:sz w:val="23"/>
          <w:szCs w:val="23"/>
          <w:lang w:eastAsia="es-ES_tradnl"/>
        </w:rPr>
        <w:fldChar w:fldCharType="separate"/>
      </w:r>
      <w:r w:rsidRPr="00DF5830">
        <w:rPr>
          <w:rFonts w:ascii="Merriweather" w:eastAsia="Times New Roman" w:hAnsi="Merriweather" w:cs="Times New Roman"/>
          <w:noProof/>
          <w:color w:val="2A2A2A"/>
          <w:sz w:val="23"/>
          <w:szCs w:val="23"/>
          <w:lang w:eastAsia="es-ES_tradnl"/>
        </w:rPr>
        <w:drawing>
          <wp:inline distT="0" distB="0" distL="0" distR="0" wp14:anchorId="0D2E9D10" wp14:editId="2C6A84ED">
            <wp:extent cx="5400040" cy="439356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4393565"/>
                    </a:xfrm>
                    <a:prstGeom prst="rect">
                      <a:avLst/>
                    </a:prstGeom>
                    <a:noFill/>
                    <a:ln>
                      <a:noFill/>
                    </a:ln>
                  </pic:spPr>
                </pic:pic>
              </a:graphicData>
            </a:graphic>
          </wp:inline>
        </w:drawing>
      </w:r>
      <w:r w:rsidRPr="00DF5830">
        <w:rPr>
          <w:rFonts w:ascii="Merriweather" w:eastAsia="Times New Roman" w:hAnsi="Merriweather" w:cs="Times New Roman"/>
          <w:color w:val="2A2A2A"/>
          <w:sz w:val="23"/>
          <w:szCs w:val="23"/>
          <w:lang w:eastAsia="es-ES_tradnl"/>
        </w:rPr>
        <w:fldChar w:fldCharType="end"/>
      </w:r>
    </w:p>
    <w:p w14:paraId="5C5D0457" w14:textId="77777777" w:rsidR="00DF5830" w:rsidRPr="00DF5830" w:rsidRDefault="00DF5830" w:rsidP="00DF5830">
      <w:pPr>
        <w:shd w:val="clear" w:color="auto" w:fill="FFFFFF"/>
        <w:spacing w:before="100" w:beforeAutospacing="1" w:after="100" w:afterAutospacing="1" w:line="306" w:lineRule="atLeast"/>
        <w:textAlignment w:val="baseline"/>
        <w:outlineLvl w:val="3"/>
        <w:rPr>
          <w:rFonts w:ascii="Source Sans Pro" w:eastAsia="Times New Roman" w:hAnsi="Source Sans Pro" w:cs="Times New Roman"/>
          <w:b/>
          <w:bCs/>
          <w:color w:val="2A2A2A"/>
          <w:lang w:eastAsia="es-ES_tradnl"/>
        </w:rPr>
      </w:pPr>
      <w:r w:rsidRPr="00DF5830">
        <w:rPr>
          <w:rFonts w:ascii="Source Sans Pro" w:eastAsia="Times New Roman" w:hAnsi="Source Sans Pro" w:cs="Times New Roman"/>
          <w:b/>
          <w:bCs/>
          <w:color w:val="2A2A2A"/>
          <w:lang w:eastAsia="es-ES_tradnl"/>
        </w:rPr>
        <w:t>Data resource basics</w:t>
      </w:r>
    </w:p>
    <w:p w14:paraId="777C7603" w14:textId="77777777" w:rsidR="00DF5830" w:rsidRPr="00DF5830" w:rsidRDefault="00DF5830" w:rsidP="00DF5830">
      <w:pPr>
        <w:numPr>
          <w:ilvl w:val="0"/>
          <w:numId w:val="4"/>
        </w:numPr>
        <w:shd w:val="clear" w:color="auto" w:fill="FFFFFF"/>
        <w:spacing w:after="120"/>
        <w:textAlignment w:val="baseline"/>
        <w:rPr>
          <w:rFonts w:ascii="Merriweather" w:eastAsia="Times New Roman" w:hAnsi="Merriweather" w:cs="Times New Roman"/>
          <w:color w:val="2A2A2A"/>
          <w:sz w:val="23"/>
          <w:szCs w:val="23"/>
          <w:lang w:val="en-US" w:eastAsia="es-ES_tradnl"/>
        </w:rPr>
      </w:pPr>
      <w:r w:rsidRPr="00DF5830">
        <w:rPr>
          <w:rFonts w:ascii="Merriweather" w:eastAsia="Times New Roman" w:hAnsi="Merriweather" w:cs="Times New Roman"/>
          <w:color w:val="2A2A2A"/>
          <w:sz w:val="23"/>
          <w:szCs w:val="23"/>
          <w:lang w:val="en-US" w:eastAsia="es-ES_tradnl"/>
        </w:rPr>
        <w:t>Provide the rationale for setting up the dataset (including the original research questions that it was set up to address), when it was established, where it is located and how it is funded.</w:t>
      </w:r>
    </w:p>
    <w:p w14:paraId="7CC84D51" w14:textId="77777777" w:rsidR="00DF5830" w:rsidRPr="00DF5830" w:rsidRDefault="00DF5830" w:rsidP="00DF5830">
      <w:pPr>
        <w:numPr>
          <w:ilvl w:val="0"/>
          <w:numId w:val="4"/>
        </w:numPr>
        <w:shd w:val="clear" w:color="auto" w:fill="FFFFFF"/>
        <w:spacing w:before="120" w:after="120"/>
        <w:textAlignment w:val="baseline"/>
        <w:rPr>
          <w:rFonts w:ascii="Merriweather" w:eastAsia="Times New Roman" w:hAnsi="Merriweather" w:cs="Times New Roman"/>
          <w:color w:val="2A2A2A"/>
          <w:sz w:val="23"/>
          <w:szCs w:val="23"/>
          <w:lang w:val="en-US" w:eastAsia="es-ES_tradnl"/>
        </w:rPr>
      </w:pPr>
      <w:r w:rsidRPr="00DF5830">
        <w:rPr>
          <w:rFonts w:ascii="Merriweather" w:eastAsia="Times New Roman" w:hAnsi="Merriweather" w:cs="Times New Roman"/>
          <w:color w:val="2A2A2A"/>
          <w:sz w:val="23"/>
          <w:szCs w:val="23"/>
          <w:lang w:val="en-US" w:eastAsia="es-ES_tradnl"/>
        </w:rPr>
        <w:t>Define the area covered by the data resource and describe the units, groups and individuals from whom data were collected.</w:t>
      </w:r>
    </w:p>
    <w:p w14:paraId="2B4B22EC" w14:textId="77777777" w:rsidR="00DF5830" w:rsidRPr="00DF5830" w:rsidRDefault="00DF5830" w:rsidP="00DF5830">
      <w:pPr>
        <w:numPr>
          <w:ilvl w:val="0"/>
          <w:numId w:val="4"/>
        </w:numPr>
        <w:shd w:val="clear" w:color="auto" w:fill="FFFFFF"/>
        <w:spacing w:before="120" w:after="120"/>
        <w:textAlignment w:val="baseline"/>
        <w:rPr>
          <w:rFonts w:ascii="Merriweather" w:eastAsia="Times New Roman" w:hAnsi="Merriweather" w:cs="Times New Roman"/>
          <w:color w:val="2A2A2A"/>
          <w:sz w:val="23"/>
          <w:szCs w:val="23"/>
          <w:lang w:eastAsia="es-ES_tradnl"/>
        </w:rPr>
      </w:pPr>
      <w:r w:rsidRPr="00DF5830">
        <w:rPr>
          <w:rFonts w:ascii="Merriweather" w:eastAsia="Times New Roman" w:hAnsi="Merriweather" w:cs="Times New Roman"/>
          <w:color w:val="2A2A2A"/>
          <w:sz w:val="23"/>
          <w:szCs w:val="23"/>
          <w:lang w:val="en-US" w:eastAsia="es-ES_tradnl"/>
        </w:rPr>
        <w:t xml:space="preserve">If data from repeat surveys are available, dates and numbers surveyed, response rates and representativeness should be provided for each repeat survey. </w:t>
      </w:r>
      <w:r w:rsidRPr="00DF5830">
        <w:rPr>
          <w:rFonts w:ascii="Merriweather" w:eastAsia="Times New Roman" w:hAnsi="Merriweather" w:cs="Times New Roman"/>
          <w:color w:val="2A2A2A"/>
          <w:sz w:val="23"/>
          <w:szCs w:val="23"/>
          <w:lang w:eastAsia="es-ES_tradnl"/>
        </w:rPr>
        <w:t>This information can be presented in tabular form.</w:t>
      </w:r>
    </w:p>
    <w:p w14:paraId="7C87935E" w14:textId="77777777" w:rsidR="00DF5830" w:rsidRPr="00DF5830" w:rsidRDefault="00DF5830" w:rsidP="00DF5830">
      <w:pPr>
        <w:numPr>
          <w:ilvl w:val="0"/>
          <w:numId w:val="4"/>
        </w:numPr>
        <w:shd w:val="clear" w:color="auto" w:fill="FFFFFF"/>
        <w:spacing w:before="120" w:after="120"/>
        <w:textAlignment w:val="baseline"/>
        <w:rPr>
          <w:rFonts w:ascii="Merriweather" w:eastAsia="Times New Roman" w:hAnsi="Merriweather" w:cs="Times New Roman"/>
          <w:color w:val="2A2A2A"/>
          <w:sz w:val="23"/>
          <w:szCs w:val="23"/>
          <w:lang w:val="en-US" w:eastAsia="es-ES_tradnl"/>
        </w:rPr>
      </w:pPr>
      <w:r w:rsidRPr="00DF5830">
        <w:rPr>
          <w:rFonts w:ascii="Merriweather" w:eastAsia="Times New Roman" w:hAnsi="Merriweather" w:cs="Times New Roman"/>
          <w:color w:val="2A2A2A"/>
          <w:sz w:val="23"/>
          <w:szCs w:val="23"/>
          <w:lang w:val="en-US" w:eastAsia="es-ES_tradnl"/>
        </w:rPr>
        <w:lastRenderedPageBreak/>
        <w:t>Provide a brief description of any linkages to other datasets (more detail can be provided in the next section).</w:t>
      </w:r>
    </w:p>
    <w:p w14:paraId="782D82F8" w14:textId="77777777" w:rsidR="00DF5830" w:rsidRPr="00DF5830" w:rsidRDefault="00DF5830" w:rsidP="00DF5830">
      <w:pPr>
        <w:numPr>
          <w:ilvl w:val="0"/>
          <w:numId w:val="4"/>
        </w:numPr>
        <w:shd w:val="clear" w:color="auto" w:fill="FFFFFF"/>
        <w:spacing w:before="120" w:after="120"/>
        <w:textAlignment w:val="baseline"/>
        <w:rPr>
          <w:rFonts w:ascii="Merriweather" w:eastAsia="Times New Roman" w:hAnsi="Merriweather" w:cs="Times New Roman"/>
          <w:color w:val="2A2A2A"/>
          <w:sz w:val="23"/>
          <w:szCs w:val="23"/>
          <w:lang w:val="en-US" w:eastAsia="es-ES_tradnl"/>
        </w:rPr>
      </w:pPr>
      <w:r w:rsidRPr="00DF5830">
        <w:rPr>
          <w:rFonts w:ascii="Merriweather" w:eastAsia="Times New Roman" w:hAnsi="Merriweather" w:cs="Times New Roman"/>
          <w:color w:val="2A2A2A"/>
          <w:sz w:val="23"/>
          <w:szCs w:val="23"/>
          <w:lang w:val="en-US" w:eastAsia="es-ES_tradnl"/>
        </w:rPr>
        <w:t>Indicate how long this data resource will be followed up and funded. We prefer data resources that will be followed up for at least 10 years.</w:t>
      </w:r>
    </w:p>
    <w:p w14:paraId="05064DD2" w14:textId="77777777" w:rsidR="00DF5830" w:rsidRPr="00DF5830" w:rsidRDefault="00DF5830" w:rsidP="00DF5830">
      <w:pPr>
        <w:numPr>
          <w:ilvl w:val="0"/>
          <w:numId w:val="4"/>
        </w:numPr>
        <w:shd w:val="clear" w:color="auto" w:fill="FFFFFF"/>
        <w:spacing w:before="120"/>
        <w:textAlignment w:val="baseline"/>
        <w:rPr>
          <w:rFonts w:ascii="Merriweather" w:eastAsia="Times New Roman" w:hAnsi="Merriweather" w:cs="Times New Roman"/>
          <w:color w:val="2A2A2A"/>
          <w:sz w:val="23"/>
          <w:szCs w:val="23"/>
          <w:lang w:val="en-US" w:eastAsia="es-ES_tradnl"/>
        </w:rPr>
      </w:pPr>
      <w:r w:rsidRPr="00DF5830">
        <w:rPr>
          <w:rFonts w:ascii="Merriweather" w:eastAsia="Times New Roman" w:hAnsi="Merriweather" w:cs="Times New Roman"/>
          <w:color w:val="2A2A2A"/>
          <w:sz w:val="23"/>
          <w:szCs w:val="23"/>
          <w:lang w:val="en-US" w:eastAsia="es-ES_tradnl"/>
        </w:rPr>
        <w:t>Provide details of ethical clearance (if appropriate) and funding sources.</w:t>
      </w:r>
    </w:p>
    <w:p w14:paraId="5DE43027" w14:textId="77777777" w:rsidR="00DF5830" w:rsidRPr="00DF5830" w:rsidRDefault="00DF5830" w:rsidP="00DF5830">
      <w:pPr>
        <w:shd w:val="clear" w:color="auto" w:fill="FFFFFF"/>
        <w:spacing w:before="100" w:beforeAutospacing="1" w:after="100" w:afterAutospacing="1" w:line="306" w:lineRule="atLeast"/>
        <w:textAlignment w:val="baseline"/>
        <w:outlineLvl w:val="3"/>
        <w:rPr>
          <w:rFonts w:ascii="Source Sans Pro" w:eastAsia="Times New Roman" w:hAnsi="Source Sans Pro" w:cs="Times New Roman"/>
          <w:b/>
          <w:bCs/>
          <w:color w:val="2A2A2A"/>
          <w:lang w:val="en-US" w:eastAsia="es-ES_tradnl"/>
        </w:rPr>
      </w:pPr>
      <w:r w:rsidRPr="00DF5830">
        <w:rPr>
          <w:rFonts w:ascii="Source Sans Pro" w:eastAsia="Times New Roman" w:hAnsi="Source Sans Pro" w:cs="Times New Roman"/>
          <w:b/>
          <w:bCs/>
          <w:color w:val="2A2A2A"/>
          <w:lang w:val="en-US" w:eastAsia="es-ES_tradnl"/>
        </w:rPr>
        <w:t>Data collected</w:t>
      </w:r>
    </w:p>
    <w:p w14:paraId="16183138" w14:textId="77777777" w:rsidR="00DF5830" w:rsidRPr="00DF5830" w:rsidRDefault="00DF5830" w:rsidP="00DF5830">
      <w:pPr>
        <w:shd w:val="clear" w:color="auto" w:fill="FFFFFF"/>
        <w:spacing w:before="100" w:beforeAutospacing="1" w:after="100" w:afterAutospacing="1"/>
        <w:textAlignment w:val="baseline"/>
        <w:rPr>
          <w:rFonts w:ascii="Merriweather" w:eastAsia="Times New Roman" w:hAnsi="Merriweather" w:cs="Times New Roman"/>
          <w:color w:val="2A2A2A"/>
          <w:sz w:val="23"/>
          <w:szCs w:val="23"/>
          <w:lang w:val="en-US" w:eastAsia="es-ES_tradnl"/>
        </w:rPr>
      </w:pPr>
      <w:r w:rsidRPr="00DF5830">
        <w:rPr>
          <w:rFonts w:ascii="Merriweather" w:eastAsia="Times New Roman" w:hAnsi="Merriweather" w:cs="Times New Roman"/>
          <w:color w:val="2A2A2A"/>
          <w:sz w:val="23"/>
          <w:szCs w:val="23"/>
          <w:lang w:val="en-US" w:eastAsia="es-ES_tradnl"/>
        </w:rPr>
        <w:t>This section should describe, in detail:</w:t>
      </w:r>
    </w:p>
    <w:p w14:paraId="3924FE25" w14:textId="77777777" w:rsidR="00DF5830" w:rsidRPr="00DF5830" w:rsidRDefault="00DF5830" w:rsidP="00DF5830">
      <w:pPr>
        <w:numPr>
          <w:ilvl w:val="0"/>
          <w:numId w:val="5"/>
        </w:numPr>
        <w:shd w:val="clear" w:color="auto" w:fill="FFFFFF"/>
        <w:spacing w:after="120"/>
        <w:textAlignment w:val="baseline"/>
        <w:rPr>
          <w:rFonts w:ascii="Merriweather" w:eastAsia="Times New Roman" w:hAnsi="Merriweather" w:cs="Times New Roman"/>
          <w:color w:val="2A2A2A"/>
          <w:sz w:val="23"/>
          <w:szCs w:val="23"/>
          <w:lang w:val="en-US" w:eastAsia="es-ES_tradnl"/>
        </w:rPr>
      </w:pPr>
      <w:r w:rsidRPr="00DF5830">
        <w:rPr>
          <w:rFonts w:ascii="Merriweather" w:eastAsia="Times New Roman" w:hAnsi="Merriweather" w:cs="Times New Roman"/>
          <w:color w:val="2A2A2A"/>
          <w:sz w:val="23"/>
          <w:szCs w:val="23"/>
          <w:lang w:val="en-US" w:eastAsia="es-ES_tradnl"/>
        </w:rPr>
        <w:t>any linkages to morbidity, mortality and other routine data sources, including whether the data have been harmonised;</w:t>
      </w:r>
    </w:p>
    <w:p w14:paraId="5B36B23F" w14:textId="77777777" w:rsidR="00DF5830" w:rsidRPr="00DF5830" w:rsidRDefault="00DF5830" w:rsidP="00DF5830">
      <w:pPr>
        <w:numPr>
          <w:ilvl w:val="0"/>
          <w:numId w:val="5"/>
        </w:numPr>
        <w:shd w:val="clear" w:color="auto" w:fill="FFFFFF"/>
        <w:spacing w:before="120"/>
        <w:textAlignment w:val="baseline"/>
        <w:rPr>
          <w:rFonts w:ascii="Merriweather" w:eastAsia="Times New Roman" w:hAnsi="Merriweather" w:cs="Times New Roman"/>
          <w:color w:val="2A2A2A"/>
          <w:sz w:val="23"/>
          <w:szCs w:val="23"/>
          <w:lang w:val="en-US" w:eastAsia="es-ES_tradnl"/>
        </w:rPr>
      </w:pPr>
      <w:r w:rsidRPr="00DF5830">
        <w:rPr>
          <w:rFonts w:ascii="Merriweather" w:eastAsia="Times New Roman" w:hAnsi="Merriweather" w:cs="Times New Roman"/>
          <w:color w:val="2A2A2A"/>
          <w:sz w:val="23"/>
          <w:szCs w:val="23"/>
          <w:lang w:val="en-US" w:eastAsia="es-ES_tradnl"/>
        </w:rPr>
        <w:t>measures to ensure data quality and anonymisation techniques.</w:t>
      </w:r>
    </w:p>
    <w:p w14:paraId="5C610ECD" w14:textId="77777777" w:rsidR="00DF5830" w:rsidRPr="00DF5830" w:rsidRDefault="00DF5830" w:rsidP="00DF5830">
      <w:pPr>
        <w:shd w:val="clear" w:color="auto" w:fill="FFFFFF"/>
        <w:spacing w:before="100" w:beforeAutospacing="1" w:after="100" w:afterAutospacing="1"/>
        <w:textAlignment w:val="baseline"/>
        <w:rPr>
          <w:rFonts w:ascii="Merriweather" w:eastAsia="Times New Roman" w:hAnsi="Merriweather" w:cs="Times New Roman"/>
          <w:color w:val="2A2A2A"/>
          <w:sz w:val="23"/>
          <w:szCs w:val="23"/>
          <w:lang w:eastAsia="es-ES_tradnl"/>
        </w:rPr>
      </w:pPr>
      <w:r w:rsidRPr="00DF5830">
        <w:rPr>
          <w:rFonts w:ascii="Merriweather" w:eastAsia="Times New Roman" w:hAnsi="Merriweather" w:cs="Times New Roman"/>
          <w:color w:val="2A2A2A"/>
          <w:sz w:val="23"/>
          <w:szCs w:val="23"/>
          <w:lang w:eastAsia="es-ES_tradnl"/>
        </w:rPr>
        <w:t>Include brief details of:</w:t>
      </w:r>
    </w:p>
    <w:p w14:paraId="1281A83D" w14:textId="77777777" w:rsidR="00DF5830" w:rsidRPr="00DF5830" w:rsidRDefault="00DF5830" w:rsidP="00DF5830">
      <w:pPr>
        <w:numPr>
          <w:ilvl w:val="0"/>
          <w:numId w:val="6"/>
        </w:numPr>
        <w:shd w:val="clear" w:color="auto" w:fill="FFFFFF"/>
        <w:spacing w:after="120"/>
        <w:textAlignment w:val="baseline"/>
        <w:rPr>
          <w:rFonts w:ascii="Merriweather" w:eastAsia="Times New Roman" w:hAnsi="Merriweather" w:cs="Times New Roman"/>
          <w:color w:val="2A2A2A"/>
          <w:sz w:val="23"/>
          <w:szCs w:val="23"/>
          <w:lang w:val="en-US" w:eastAsia="es-ES_tradnl"/>
        </w:rPr>
      </w:pPr>
      <w:r w:rsidRPr="00DF5830">
        <w:rPr>
          <w:rFonts w:ascii="Merriweather" w:eastAsia="Times New Roman" w:hAnsi="Merriweather" w:cs="Times New Roman"/>
          <w:color w:val="2A2A2A"/>
          <w:sz w:val="23"/>
          <w:szCs w:val="23"/>
          <w:lang w:val="en-US" w:eastAsia="es-ES_tradnl"/>
        </w:rPr>
        <w:t>dataset production, including source data, sampling strategy, software and hardware, if appropriate;</w:t>
      </w:r>
    </w:p>
    <w:p w14:paraId="131FF6DE" w14:textId="77777777" w:rsidR="00DF5830" w:rsidRPr="00DF5830" w:rsidRDefault="00DF5830" w:rsidP="00DF5830">
      <w:pPr>
        <w:numPr>
          <w:ilvl w:val="0"/>
          <w:numId w:val="6"/>
        </w:numPr>
        <w:shd w:val="clear" w:color="auto" w:fill="FFFFFF"/>
        <w:spacing w:before="120"/>
        <w:textAlignment w:val="baseline"/>
        <w:rPr>
          <w:rFonts w:ascii="Merriweather" w:eastAsia="Times New Roman" w:hAnsi="Merriweather" w:cs="Times New Roman"/>
          <w:color w:val="2A2A2A"/>
          <w:sz w:val="23"/>
          <w:szCs w:val="23"/>
          <w:lang w:val="en-US" w:eastAsia="es-ES_tradnl"/>
        </w:rPr>
      </w:pPr>
      <w:r w:rsidRPr="00DF5830">
        <w:rPr>
          <w:rFonts w:ascii="Merriweather" w:eastAsia="Times New Roman" w:hAnsi="Merriweather" w:cs="Times New Roman"/>
          <w:color w:val="2A2A2A"/>
          <w:sz w:val="23"/>
          <w:szCs w:val="23"/>
          <w:lang w:val="en-US" w:eastAsia="es-ES_tradnl"/>
        </w:rPr>
        <w:t>data type (e.g. secondary data) and survey type (e.g. repeat panel data);</w:t>
      </w:r>
    </w:p>
    <w:p w14:paraId="4C4E59CC" w14:textId="77777777" w:rsidR="00DF5830" w:rsidRPr="00DF5830" w:rsidRDefault="00DF5830" w:rsidP="00DF5830">
      <w:pPr>
        <w:shd w:val="clear" w:color="auto" w:fill="FFFFFF"/>
        <w:spacing w:before="100" w:beforeAutospacing="1" w:after="100" w:afterAutospacing="1"/>
        <w:textAlignment w:val="baseline"/>
        <w:rPr>
          <w:rFonts w:ascii="Merriweather" w:eastAsia="Times New Roman" w:hAnsi="Merriweather" w:cs="Times New Roman"/>
          <w:color w:val="2A2A2A"/>
          <w:sz w:val="23"/>
          <w:szCs w:val="23"/>
          <w:lang w:val="en-US" w:eastAsia="es-ES_tradnl"/>
        </w:rPr>
      </w:pPr>
      <w:r w:rsidRPr="00DF5830">
        <w:rPr>
          <w:rFonts w:ascii="Merriweather" w:eastAsia="Times New Roman" w:hAnsi="Merriweather" w:cs="Times New Roman"/>
          <w:color w:val="2A2A2A"/>
          <w:sz w:val="23"/>
          <w:szCs w:val="23"/>
          <w:lang w:val="en-US" w:eastAsia="es-ES_tradnl"/>
        </w:rPr>
        <w:t>Describe (in tabular form if possible):</w:t>
      </w:r>
    </w:p>
    <w:p w14:paraId="74D7B4F5" w14:textId="77777777" w:rsidR="00DF5830" w:rsidRPr="00DF5830" w:rsidRDefault="00DF5830" w:rsidP="00DF5830">
      <w:pPr>
        <w:numPr>
          <w:ilvl w:val="0"/>
          <w:numId w:val="7"/>
        </w:numPr>
        <w:shd w:val="clear" w:color="auto" w:fill="FFFFFF"/>
        <w:spacing w:after="120"/>
        <w:textAlignment w:val="baseline"/>
        <w:rPr>
          <w:rFonts w:ascii="Merriweather" w:eastAsia="Times New Roman" w:hAnsi="Merriweather" w:cs="Times New Roman"/>
          <w:color w:val="2A2A2A"/>
          <w:sz w:val="23"/>
          <w:szCs w:val="23"/>
          <w:lang w:val="en-US" w:eastAsia="es-ES_tradnl"/>
        </w:rPr>
      </w:pPr>
      <w:r w:rsidRPr="00DF5830">
        <w:rPr>
          <w:rFonts w:ascii="Merriweather" w:eastAsia="Times New Roman" w:hAnsi="Merriweather" w:cs="Times New Roman"/>
          <w:color w:val="2A2A2A"/>
          <w:sz w:val="23"/>
          <w:szCs w:val="23"/>
          <w:lang w:val="en-US" w:eastAsia="es-ES_tradnl"/>
        </w:rPr>
        <w:t>the measures collected at each level, e.g. individual, household, indicating the data collection method (e.g. questionnaire, clinic exam, biospecimen, data linkage),</w:t>
      </w:r>
    </w:p>
    <w:p w14:paraId="124610A5" w14:textId="77777777" w:rsidR="00DF5830" w:rsidRPr="00DF5830" w:rsidRDefault="00DF5830" w:rsidP="00DF5830">
      <w:pPr>
        <w:numPr>
          <w:ilvl w:val="0"/>
          <w:numId w:val="7"/>
        </w:numPr>
        <w:shd w:val="clear" w:color="auto" w:fill="FFFFFF"/>
        <w:spacing w:before="120"/>
        <w:textAlignment w:val="baseline"/>
        <w:rPr>
          <w:rFonts w:ascii="Merriweather" w:eastAsia="Times New Roman" w:hAnsi="Merriweather" w:cs="Times New Roman"/>
          <w:color w:val="2A2A2A"/>
          <w:sz w:val="23"/>
          <w:szCs w:val="23"/>
          <w:lang w:val="en-US" w:eastAsia="es-ES_tradnl"/>
        </w:rPr>
      </w:pPr>
      <w:r w:rsidRPr="00DF5830">
        <w:rPr>
          <w:rFonts w:ascii="Merriweather" w:eastAsia="Times New Roman" w:hAnsi="Merriweather" w:cs="Times New Roman"/>
          <w:color w:val="2A2A2A"/>
          <w:sz w:val="23"/>
          <w:szCs w:val="23"/>
          <w:lang w:val="en-US" w:eastAsia="es-ES_tradnl"/>
        </w:rPr>
        <w:t>the type of data collected (e.g. demographic, anthropometric, genetic, hospital episode), and frequency.</w:t>
      </w:r>
    </w:p>
    <w:p w14:paraId="24F94450" w14:textId="77777777" w:rsidR="00DF5830" w:rsidRPr="00DF5830" w:rsidRDefault="00DF5830" w:rsidP="00DF5830">
      <w:pPr>
        <w:shd w:val="clear" w:color="auto" w:fill="FFFFFF"/>
        <w:spacing w:before="100" w:beforeAutospacing="1" w:after="100" w:afterAutospacing="1"/>
        <w:textAlignment w:val="baseline"/>
        <w:rPr>
          <w:rFonts w:ascii="Merriweather" w:eastAsia="Times New Roman" w:hAnsi="Merriweather" w:cs="Times New Roman"/>
          <w:color w:val="2A2A2A"/>
          <w:sz w:val="23"/>
          <w:szCs w:val="23"/>
          <w:lang w:val="en-US" w:eastAsia="es-ES_tradnl"/>
        </w:rPr>
      </w:pPr>
      <w:r w:rsidRPr="00DF5830">
        <w:rPr>
          <w:rFonts w:ascii="Merriweather" w:eastAsia="Times New Roman" w:hAnsi="Merriweather" w:cs="Times New Roman"/>
          <w:color w:val="2A2A2A"/>
          <w:sz w:val="23"/>
          <w:szCs w:val="23"/>
          <w:lang w:val="en-US" w:eastAsia="es-ES_tradnl"/>
        </w:rPr>
        <w:t>Provide broad categories for the data collected. e.g.:</w:t>
      </w:r>
    </w:p>
    <w:tbl>
      <w:tblPr>
        <w:tblW w:w="0" w:type="dxa"/>
        <w:tblBorders>
          <w:top w:val="single" w:sz="6" w:space="0" w:color="CFD5E4"/>
        </w:tblBorders>
        <w:tblCellMar>
          <w:left w:w="0" w:type="dxa"/>
          <w:right w:w="0" w:type="dxa"/>
        </w:tblCellMar>
        <w:tblLook w:val="04A0" w:firstRow="1" w:lastRow="0" w:firstColumn="1" w:lastColumn="0" w:noHBand="0" w:noVBand="1"/>
      </w:tblPr>
      <w:tblGrid>
        <w:gridCol w:w="1398"/>
        <w:gridCol w:w="2115"/>
      </w:tblGrid>
      <w:tr w:rsidR="00DF5830" w:rsidRPr="00DF5830" w14:paraId="19A4D959" w14:textId="77777777" w:rsidTr="00DF5830">
        <w:trPr>
          <w:tblHeader/>
        </w:trPr>
        <w:tc>
          <w:tcPr>
            <w:tcW w:w="6" w:type="dxa"/>
            <w:tcBorders>
              <w:top w:val="nil"/>
              <w:left w:val="nil"/>
              <w:bottom w:val="nil"/>
              <w:right w:val="nil"/>
            </w:tcBorders>
            <w:shd w:val="clear" w:color="auto" w:fill="F2F5F9"/>
            <w:tcMar>
              <w:top w:w="180" w:type="dxa"/>
              <w:left w:w="240" w:type="dxa"/>
              <w:bottom w:w="180" w:type="dxa"/>
              <w:right w:w="240" w:type="dxa"/>
            </w:tcMar>
            <w:vAlign w:val="bottom"/>
            <w:hideMark/>
          </w:tcPr>
          <w:p w14:paraId="09BE77A6" w14:textId="77777777" w:rsidR="00DF5830" w:rsidRPr="00DF5830" w:rsidRDefault="00DF5830" w:rsidP="00DF5830">
            <w:pPr>
              <w:spacing w:line="312" w:lineRule="atLeast"/>
              <w:rPr>
                <w:rFonts w:ascii="inherit" w:eastAsia="Times New Roman" w:hAnsi="inherit" w:cs="Times New Roman"/>
                <w:b/>
                <w:bCs/>
                <w:lang w:eastAsia="es-ES_tradnl"/>
              </w:rPr>
            </w:pPr>
            <w:r w:rsidRPr="00DF5830">
              <w:rPr>
                <w:rFonts w:ascii="inherit" w:eastAsia="Times New Roman" w:hAnsi="inherit" w:cs="Times New Roman"/>
                <w:b/>
                <w:bCs/>
                <w:lang w:eastAsia="es-ES_tradnl"/>
              </w:rPr>
              <w:t>Phase</w:t>
            </w:r>
          </w:p>
        </w:tc>
        <w:tc>
          <w:tcPr>
            <w:tcW w:w="6" w:type="dxa"/>
            <w:tcBorders>
              <w:top w:val="nil"/>
              <w:left w:val="nil"/>
              <w:bottom w:val="nil"/>
              <w:right w:val="nil"/>
            </w:tcBorders>
            <w:shd w:val="clear" w:color="auto" w:fill="F2F5F9"/>
            <w:tcMar>
              <w:top w:w="180" w:type="dxa"/>
              <w:left w:w="240" w:type="dxa"/>
              <w:bottom w:w="180" w:type="dxa"/>
              <w:right w:w="240" w:type="dxa"/>
            </w:tcMar>
            <w:vAlign w:val="bottom"/>
            <w:hideMark/>
          </w:tcPr>
          <w:p w14:paraId="6B00D2D3" w14:textId="77777777" w:rsidR="00DF5830" w:rsidRPr="00DF5830" w:rsidRDefault="00DF5830" w:rsidP="00DF5830">
            <w:pPr>
              <w:spacing w:line="312" w:lineRule="atLeast"/>
              <w:rPr>
                <w:rFonts w:ascii="inherit" w:eastAsia="Times New Roman" w:hAnsi="inherit" w:cs="Times New Roman"/>
                <w:b/>
                <w:bCs/>
                <w:lang w:eastAsia="es-ES_tradnl"/>
              </w:rPr>
            </w:pPr>
            <w:r w:rsidRPr="00DF5830">
              <w:rPr>
                <w:rFonts w:ascii="inherit" w:eastAsia="Times New Roman" w:hAnsi="inherit" w:cs="Times New Roman"/>
                <w:b/>
                <w:bCs/>
                <w:lang w:eastAsia="es-ES_tradnl"/>
              </w:rPr>
              <w:t>Measurements</w:t>
            </w:r>
          </w:p>
        </w:tc>
      </w:tr>
      <w:tr w:rsidR="00DF5830" w:rsidRPr="00DF5830" w14:paraId="321D05E8" w14:textId="77777777" w:rsidTr="00DF5830">
        <w:tc>
          <w:tcPr>
            <w:tcW w:w="6" w:type="dxa"/>
            <w:tcBorders>
              <w:top w:val="nil"/>
              <w:left w:val="nil"/>
              <w:bottom w:val="nil"/>
              <w:right w:val="nil"/>
            </w:tcBorders>
            <w:shd w:val="clear" w:color="auto" w:fill="FFFFFF"/>
            <w:tcMar>
              <w:top w:w="180" w:type="dxa"/>
              <w:left w:w="240" w:type="dxa"/>
              <w:bottom w:w="180" w:type="dxa"/>
              <w:right w:w="240" w:type="dxa"/>
            </w:tcMar>
            <w:vAlign w:val="bottom"/>
            <w:hideMark/>
          </w:tcPr>
          <w:p w14:paraId="6432E600" w14:textId="77777777" w:rsidR="00DF5830" w:rsidRPr="00DF5830" w:rsidRDefault="00DF5830" w:rsidP="00DF5830">
            <w:pPr>
              <w:spacing w:line="312" w:lineRule="atLeast"/>
              <w:rPr>
                <w:rFonts w:ascii="inherit" w:eastAsia="Times New Roman" w:hAnsi="inherit" w:cs="Times New Roman"/>
                <w:lang w:eastAsia="es-ES_tradnl"/>
              </w:rPr>
            </w:pPr>
            <w:r w:rsidRPr="00DF5830">
              <w:rPr>
                <w:rFonts w:ascii="inherit" w:eastAsia="Times New Roman" w:hAnsi="inherit" w:cs="Times New Roman"/>
                <w:lang w:eastAsia="es-ES_tradnl"/>
              </w:rPr>
              <w:t>National cross- sectional survey</w:t>
            </w:r>
          </w:p>
        </w:tc>
        <w:tc>
          <w:tcPr>
            <w:tcW w:w="6" w:type="dxa"/>
            <w:tcBorders>
              <w:top w:val="nil"/>
              <w:left w:val="nil"/>
              <w:bottom w:val="nil"/>
              <w:right w:val="nil"/>
            </w:tcBorders>
            <w:shd w:val="clear" w:color="auto" w:fill="FFFFFF"/>
            <w:tcMar>
              <w:top w:w="180" w:type="dxa"/>
              <w:left w:w="240" w:type="dxa"/>
              <w:bottom w:w="180" w:type="dxa"/>
              <w:right w:w="240" w:type="dxa"/>
            </w:tcMar>
            <w:vAlign w:val="bottom"/>
            <w:hideMark/>
          </w:tcPr>
          <w:p w14:paraId="0FAE7076" w14:textId="77777777" w:rsidR="00DF5830" w:rsidRPr="00DF5830" w:rsidRDefault="00DF5830" w:rsidP="00DF5830">
            <w:pPr>
              <w:spacing w:line="312" w:lineRule="atLeast"/>
              <w:rPr>
                <w:rFonts w:ascii="inherit" w:eastAsia="Times New Roman" w:hAnsi="inherit" w:cs="Times New Roman"/>
                <w:lang w:val="en-US" w:eastAsia="es-ES_tradnl"/>
              </w:rPr>
            </w:pPr>
            <w:r w:rsidRPr="00DF5830">
              <w:rPr>
                <w:rFonts w:ascii="inherit" w:eastAsia="Times New Roman" w:hAnsi="inherit" w:cs="Times New Roman"/>
                <w:lang w:val="en-US" w:eastAsia="es-ES_tradnl"/>
              </w:rPr>
              <w:t>Self-reported socio-economic position</w:t>
            </w:r>
            <w:r w:rsidRPr="00DF5830">
              <w:rPr>
                <w:rFonts w:ascii="inherit" w:eastAsia="Times New Roman" w:hAnsi="inherit" w:cs="Times New Roman"/>
                <w:lang w:val="en-US" w:eastAsia="es-ES_tradnl"/>
              </w:rPr>
              <w:br/>
              <w:t>Self-reported major behavioural risk factors for cardiovascular disease</w:t>
            </w:r>
            <w:r w:rsidRPr="00DF5830">
              <w:rPr>
                <w:rFonts w:ascii="inherit" w:eastAsia="Times New Roman" w:hAnsi="inherit" w:cs="Times New Roman"/>
                <w:lang w:val="en-US" w:eastAsia="es-ES_tradnl"/>
              </w:rPr>
              <w:br/>
            </w:r>
            <w:r w:rsidRPr="00DF5830">
              <w:rPr>
                <w:rFonts w:ascii="inherit" w:eastAsia="Times New Roman" w:hAnsi="inherit" w:cs="Times New Roman"/>
                <w:lang w:val="en-US" w:eastAsia="es-ES_tradnl"/>
              </w:rPr>
              <w:lastRenderedPageBreak/>
              <w:t>Dietary assessments</w:t>
            </w:r>
          </w:p>
        </w:tc>
      </w:tr>
      <w:tr w:rsidR="00DF5830" w:rsidRPr="00DF5830" w14:paraId="221F55A9" w14:textId="77777777" w:rsidTr="00DF5830">
        <w:tc>
          <w:tcPr>
            <w:tcW w:w="6" w:type="dxa"/>
            <w:tcBorders>
              <w:top w:val="nil"/>
              <w:left w:val="nil"/>
              <w:bottom w:val="nil"/>
              <w:right w:val="nil"/>
            </w:tcBorders>
            <w:shd w:val="clear" w:color="auto" w:fill="FFFFFF"/>
            <w:tcMar>
              <w:top w:w="180" w:type="dxa"/>
              <w:left w:w="240" w:type="dxa"/>
              <w:bottom w:w="180" w:type="dxa"/>
              <w:right w:w="240" w:type="dxa"/>
            </w:tcMar>
            <w:vAlign w:val="bottom"/>
            <w:hideMark/>
          </w:tcPr>
          <w:p w14:paraId="1E78611C" w14:textId="77777777" w:rsidR="00DF5830" w:rsidRPr="00DF5830" w:rsidRDefault="00DF5830" w:rsidP="00DF5830">
            <w:pPr>
              <w:spacing w:line="312" w:lineRule="atLeast"/>
              <w:rPr>
                <w:rFonts w:ascii="inherit" w:eastAsia="Times New Roman" w:hAnsi="inherit" w:cs="Times New Roman"/>
                <w:lang w:eastAsia="es-ES_tradnl"/>
              </w:rPr>
            </w:pPr>
            <w:r w:rsidRPr="00DF5830">
              <w:rPr>
                <w:rFonts w:ascii="inherit" w:eastAsia="Times New Roman" w:hAnsi="inherit" w:cs="Times New Roman"/>
                <w:lang w:eastAsia="es-ES_tradnl"/>
              </w:rPr>
              <w:lastRenderedPageBreak/>
              <w:t>Death register</w:t>
            </w:r>
          </w:p>
        </w:tc>
        <w:tc>
          <w:tcPr>
            <w:tcW w:w="6" w:type="dxa"/>
            <w:tcBorders>
              <w:top w:val="nil"/>
              <w:left w:val="nil"/>
              <w:bottom w:val="nil"/>
              <w:right w:val="nil"/>
            </w:tcBorders>
            <w:shd w:val="clear" w:color="auto" w:fill="FFFFFF"/>
            <w:tcMar>
              <w:top w:w="180" w:type="dxa"/>
              <w:left w:w="240" w:type="dxa"/>
              <w:bottom w:w="180" w:type="dxa"/>
              <w:right w:w="240" w:type="dxa"/>
            </w:tcMar>
            <w:vAlign w:val="bottom"/>
            <w:hideMark/>
          </w:tcPr>
          <w:p w14:paraId="0B32421F" w14:textId="77777777" w:rsidR="00DF5830" w:rsidRPr="00DF5830" w:rsidRDefault="00DF5830" w:rsidP="00DF5830">
            <w:pPr>
              <w:spacing w:line="312" w:lineRule="atLeast"/>
              <w:rPr>
                <w:rFonts w:ascii="inherit" w:eastAsia="Times New Roman" w:hAnsi="inherit" w:cs="Times New Roman"/>
                <w:lang w:val="en-US" w:eastAsia="es-ES_tradnl"/>
              </w:rPr>
            </w:pPr>
            <w:r w:rsidRPr="00DF5830">
              <w:rPr>
                <w:rFonts w:ascii="inherit" w:eastAsia="Times New Roman" w:hAnsi="inherit" w:cs="Times New Roman"/>
                <w:lang w:val="en-US" w:eastAsia="es-ES_tradnl"/>
              </w:rPr>
              <w:t>Date of death, cause of death</w:t>
            </w:r>
          </w:p>
        </w:tc>
      </w:tr>
      <w:tr w:rsidR="00DF5830" w:rsidRPr="00DF5830" w14:paraId="07D4B934" w14:textId="77777777" w:rsidTr="00DF5830">
        <w:tc>
          <w:tcPr>
            <w:tcW w:w="6" w:type="dxa"/>
            <w:tcBorders>
              <w:top w:val="nil"/>
              <w:left w:val="nil"/>
              <w:bottom w:val="nil"/>
              <w:right w:val="nil"/>
            </w:tcBorders>
            <w:shd w:val="clear" w:color="auto" w:fill="FFFFFF"/>
            <w:tcMar>
              <w:top w:w="180" w:type="dxa"/>
              <w:left w:w="240" w:type="dxa"/>
              <w:bottom w:w="180" w:type="dxa"/>
              <w:right w:w="240" w:type="dxa"/>
            </w:tcMar>
            <w:vAlign w:val="bottom"/>
            <w:hideMark/>
          </w:tcPr>
          <w:p w14:paraId="2726094A" w14:textId="77777777" w:rsidR="00DF5830" w:rsidRPr="00DF5830" w:rsidRDefault="00DF5830" w:rsidP="00DF5830">
            <w:pPr>
              <w:spacing w:line="312" w:lineRule="atLeast"/>
              <w:rPr>
                <w:rFonts w:ascii="inherit" w:eastAsia="Times New Roman" w:hAnsi="inherit" w:cs="Times New Roman"/>
                <w:lang w:eastAsia="es-ES_tradnl"/>
              </w:rPr>
            </w:pPr>
            <w:r w:rsidRPr="00DF5830">
              <w:rPr>
                <w:rFonts w:ascii="inherit" w:eastAsia="Times New Roman" w:hAnsi="inherit" w:cs="Times New Roman"/>
                <w:lang w:eastAsia="es-ES_tradnl"/>
              </w:rPr>
              <w:t>Cancer registry</w:t>
            </w:r>
          </w:p>
        </w:tc>
        <w:tc>
          <w:tcPr>
            <w:tcW w:w="6" w:type="dxa"/>
            <w:tcBorders>
              <w:top w:val="nil"/>
              <w:left w:val="nil"/>
              <w:bottom w:val="nil"/>
              <w:right w:val="nil"/>
            </w:tcBorders>
            <w:shd w:val="clear" w:color="auto" w:fill="FFFFFF"/>
            <w:tcMar>
              <w:top w:w="180" w:type="dxa"/>
              <w:left w:w="240" w:type="dxa"/>
              <w:bottom w:w="180" w:type="dxa"/>
              <w:right w:w="240" w:type="dxa"/>
            </w:tcMar>
            <w:vAlign w:val="bottom"/>
            <w:hideMark/>
          </w:tcPr>
          <w:p w14:paraId="793F2E00" w14:textId="77777777" w:rsidR="00DF5830" w:rsidRPr="00DF5830" w:rsidRDefault="00DF5830" w:rsidP="00DF5830">
            <w:pPr>
              <w:spacing w:line="312" w:lineRule="atLeast"/>
              <w:rPr>
                <w:rFonts w:ascii="inherit" w:eastAsia="Times New Roman" w:hAnsi="inherit" w:cs="Times New Roman"/>
                <w:lang w:val="en-US" w:eastAsia="es-ES_tradnl"/>
              </w:rPr>
            </w:pPr>
            <w:r w:rsidRPr="00DF5830">
              <w:rPr>
                <w:rFonts w:ascii="inherit" w:eastAsia="Times New Roman" w:hAnsi="inherit" w:cs="Times New Roman"/>
                <w:lang w:val="en-US" w:eastAsia="es-ES_tradnl"/>
              </w:rPr>
              <w:t>Details of cancer — type/grade</w:t>
            </w:r>
          </w:p>
        </w:tc>
      </w:tr>
    </w:tbl>
    <w:p w14:paraId="06D1B578" w14:textId="77777777" w:rsidR="00DF5830" w:rsidRPr="00DF5830" w:rsidRDefault="00DF5830" w:rsidP="00DF5830">
      <w:pPr>
        <w:shd w:val="clear" w:color="auto" w:fill="FFFFFF"/>
        <w:spacing w:beforeAutospacing="1" w:afterAutospacing="1"/>
        <w:textAlignment w:val="baseline"/>
        <w:rPr>
          <w:rFonts w:ascii="Merriweather" w:eastAsia="Times New Roman" w:hAnsi="Merriweather" w:cs="Times New Roman"/>
          <w:color w:val="2A2A2A"/>
          <w:sz w:val="23"/>
          <w:szCs w:val="23"/>
          <w:lang w:val="en-US" w:eastAsia="es-ES_tradnl"/>
        </w:rPr>
      </w:pPr>
      <w:r w:rsidRPr="00DF5830">
        <w:rPr>
          <w:rFonts w:ascii="Merriweather" w:eastAsia="Times New Roman" w:hAnsi="Merriweather" w:cs="Times New Roman"/>
          <w:color w:val="2A2A2A"/>
          <w:sz w:val="23"/>
          <w:szCs w:val="23"/>
          <w:lang w:val="en-US" w:eastAsia="es-ES_tradnl"/>
        </w:rPr>
        <w:t>Provide descriptions of unusual measurements (e.g. specialised scans; unique assays) and/or measurements that have been undertaken in subgroups. Further examples of tables of data collected in Data Resource Profiles may be found in previously published articles here (</w:t>
      </w:r>
      <w:hyperlink r:id="rId12" w:history="1">
        <w:r w:rsidRPr="00DF5830">
          <w:rPr>
            <w:rFonts w:ascii="Merriweather" w:eastAsia="Times New Roman" w:hAnsi="Merriweather" w:cs="Times New Roman"/>
            <w:color w:val="006FB7"/>
            <w:sz w:val="23"/>
            <w:szCs w:val="23"/>
            <w:u w:val="single"/>
            <w:bdr w:val="none" w:sz="0" w:space="0" w:color="auto" w:frame="1"/>
            <w:lang w:val="en-US" w:eastAsia="es-ES_tradnl"/>
          </w:rPr>
          <w:t>Table 3</w:t>
        </w:r>
      </w:hyperlink>
      <w:r w:rsidRPr="00DF5830">
        <w:rPr>
          <w:rFonts w:ascii="Merriweather" w:eastAsia="Times New Roman" w:hAnsi="Merriweather" w:cs="Times New Roman"/>
          <w:color w:val="2A2A2A"/>
          <w:sz w:val="23"/>
          <w:szCs w:val="23"/>
          <w:lang w:val="en-US" w:eastAsia="es-ES_tradnl"/>
        </w:rPr>
        <w:t>), here (</w:t>
      </w:r>
      <w:hyperlink r:id="rId13" w:history="1">
        <w:r w:rsidRPr="00DF5830">
          <w:rPr>
            <w:rFonts w:ascii="Merriweather" w:eastAsia="Times New Roman" w:hAnsi="Merriweather" w:cs="Times New Roman"/>
            <w:color w:val="006FB7"/>
            <w:sz w:val="23"/>
            <w:szCs w:val="23"/>
            <w:u w:val="single"/>
            <w:bdr w:val="none" w:sz="0" w:space="0" w:color="auto" w:frame="1"/>
            <w:lang w:val="en-US" w:eastAsia="es-ES_tradnl"/>
          </w:rPr>
          <w:t>Box 1</w:t>
        </w:r>
      </w:hyperlink>
      <w:r w:rsidRPr="00DF5830">
        <w:rPr>
          <w:rFonts w:ascii="Merriweather" w:eastAsia="Times New Roman" w:hAnsi="Merriweather" w:cs="Times New Roman"/>
          <w:color w:val="2A2A2A"/>
          <w:sz w:val="23"/>
          <w:szCs w:val="23"/>
          <w:lang w:val="en-US" w:eastAsia="es-ES_tradnl"/>
        </w:rPr>
        <w:t>) and here (</w:t>
      </w:r>
      <w:hyperlink r:id="rId14" w:history="1">
        <w:r w:rsidRPr="00DF5830">
          <w:rPr>
            <w:rFonts w:ascii="Merriweather" w:eastAsia="Times New Roman" w:hAnsi="Merriweather" w:cs="Times New Roman"/>
            <w:color w:val="006FB7"/>
            <w:sz w:val="23"/>
            <w:szCs w:val="23"/>
            <w:u w:val="single"/>
            <w:bdr w:val="none" w:sz="0" w:space="0" w:color="auto" w:frame="1"/>
            <w:lang w:val="en-US" w:eastAsia="es-ES_tradnl"/>
          </w:rPr>
          <w:t>Table 1</w:t>
        </w:r>
      </w:hyperlink>
      <w:r w:rsidRPr="00DF5830">
        <w:rPr>
          <w:rFonts w:ascii="Merriweather" w:eastAsia="Times New Roman" w:hAnsi="Merriweather" w:cs="Times New Roman"/>
          <w:color w:val="2A2A2A"/>
          <w:sz w:val="23"/>
          <w:szCs w:val="23"/>
          <w:lang w:val="en-US" w:eastAsia="es-ES_tradnl"/>
        </w:rPr>
        <w:t>).</w:t>
      </w:r>
    </w:p>
    <w:p w14:paraId="362B6B33" w14:textId="77777777" w:rsidR="00DF5830" w:rsidRPr="00DF5830" w:rsidRDefault="00DF5830" w:rsidP="00DF5830">
      <w:pPr>
        <w:shd w:val="clear" w:color="auto" w:fill="FFFFFF"/>
        <w:spacing w:before="100" w:beforeAutospacing="1" w:after="100" w:afterAutospacing="1" w:line="306" w:lineRule="atLeast"/>
        <w:textAlignment w:val="baseline"/>
        <w:outlineLvl w:val="3"/>
        <w:rPr>
          <w:rFonts w:ascii="Source Sans Pro" w:eastAsia="Times New Roman" w:hAnsi="Source Sans Pro" w:cs="Times New Roman"/>
          <w:b/>
          <w:bCs/>
          <w:color w:val="2A2A2A"/>
          <w:lang w:val="en-US" w:eastAsia="es-ES_tradnl"/>
        </w:rPr>
      </w:pPr>
      <w:r w:rsidRPr="00DF5830">
        <w:rPr>
          <w:rFonts w:ascii="Source Sans Pro" w:eastAsia="Times New Roman" w:hAnsi="Source Sans Pro" w:cs="Times New Roman"/>
          <w:b/>
          <w:bCs/>
          <w:color w:val="2A2A2A"/>
          <w:lang w:val="en-US" w:eastAsia="es-ES_tradnl"/>
        </w:rPr>
        <w:t>Data Resource Use</w:t>
      </w:r>
    </w:p>
    <w:p w14:paraId="3ABC5C9E" w14:textId="77777777" w:rsidR="00DF5830" w:rsidRPr="00DF5830" w:rsidRDefault="00DF5830" w:rsidP="00DF5830">
      <w:pPr>
        <w:shd w:val="clear" w:color="auto" w:fill="FFFFFF"/>
        <w:spacing w:before="100" w:beforeAutospacing="1" w:after="100" w:afterAutospacing="1"/>
        <w:textAlignment w:val="baseline"/>
        <w:rPr>
          <w:rFonts w:ascii="Merriweather" w:eastAsia="Times New Roman" w:hAnsi="Merriweather" w:cs="Times New Roman"/>
          <w:color w:val="2A2A2A"/>
          <w:sz w:val="23"/>
          <w:szCs w:val="23"/>
          <w:lang w:val="en-US" w:eastAsia="es-ES_tradnl"/>
        </w:rPr>
      </w:pPr>
      <w:r w:rsidRPr="00DF5830">
        <w:rPr>
          <w:rFonts w:ascii="Merriweather" w:eastAsia="Times New Roman" w:hAnsi="Merriweather" w:cs="Times New Roman"/>
          <w:color w:val="2A2A2A"/>
          <w:sz w:val="23"/>
          <w:szCs w:val="23"/>
          <w:lang w:val="en-US" w:eastAsia="es-ES_tradnl"/>
        </w:rPr>
        <w:t>This should not be an exhaustive list, but an indicative summary.</w:t>
      </w:r>
    </w:p>
    <w:p w14:paraId="6739F21D" w14:textId="77777777" w:rsidR="00DF5830" w:rsidRPr="00DF5830" w:rsidRDefault="00DF5830" w:rsidP="00DF5830">
      <w:pPr>
        <w:shd w:val="clear" w:color="auto" w:fill="FFFFFF"/>
        <w:spacing w:before="100" w:beforeAutospacing="1" w:after="100" w:afterAutospacing="1"/>
        <w:textAlignment w:val="baseline"/>
        <w:rPr>
          <w:rFonts w:ascii="Merriweather" w:eastAsia="Times New Roman" w:hAnsi="Merriweather" w:cs="Times New Roman"/>
          <w:color w:val="2A2A2A"/>
          <w:sz w:val="23"/>
          <w:szCs w:val="23"/>
          <w:lang w:eastAsia="es-ES_tradnl"/>
        </w:rPr>
      </w:pPr>
      <w:r w:rsidRPr="00DF5830">
        <w:rPr>
          <w:rFonts w:ascii="Merriweather" w:eastAsia="Times New Roman" w:hAnsi="Merriweather" w:cs="Times New Roman"/>
          <w:color w:val="2A2A2A"/>
          <w:sz w:val="23"/>
          <w:szCs w:val="23"/>
          <w:lang w:eastAsia="es-ES_tradnl"/>
        </w:rPr>
        <w:t>Please:</w:t>
      </w:r>
    </w:p>
    <w:p w14:paraId="350A1EC6" w14:textId="77777777" w:rsidR="00DF5830" w:rsidRPr="00DF5830" w:rsidRDefault="00DF5830" w:rsidP="00DF5830">
      <w:pPr>
        <w:numPr>
          <w:ilvl w:val="0"/>
          <w:numId w:val="8"/>
        </w:numPr>
        <w:shd w:val="clear" w:color="auto" w:fill="FFFFFF"/>
        <w:spacing w:after="120"/>
        <w:textAlignment w:val="baseline"/>
        <w:rPr>
          <w:rFonts w:ascii="Merriweather" w:eastAsia="Times New Roman" w:hAnsi="Merriweather" w:cs="Times New Roman"/>
          <w:color w:val="2A2A2A"/>
          <w:sz w:val="23"/>
          <w:szCs w:val="23"/>
          <w:lang w:val="en-US" w:eastAsia="es-ES_tradnl"/>
        </w:rPr>
      </w:pPr>
      <w:r w:rsidRPr="00DF5830">
        <w:rPr>
          <w:rFonts w:ascii="Merriweather" w:eastAsia="Times New Roman" w:hAnsi="Merriweather" w:cs="Times New Roman"/>
          <w:color w:val="2A2A2A"/>
          <w:sz w:val="23"/>
          <w:szCs w:val="23"/>
          <w:lang w:val="en-US" w:eastAsia="es-ES_tradnl"/>
        </w:rPr>
        <w:t>provide one or two brief illustrative examples of how the data resource can be used, or examples of published work which has used this data resource;</w:t>
      </w:r>
    </w:p>
    <w:p w14:paraId="604B5C68" w14:textId="77777777" w:rsidR="00DF5830" w:rsidRPr="00DF5830" w:rsidRDefault="00DF5830" w:rsidP="00DF5830">
      <w:pPr>
        <w:numPr>
          <w:ilvl w:val="0"/>
          <w:numId w:val="8"/>
        </w:numPr>
        <w:shd w:val="clear" w:color="auto" w:fill="FFFFFF"/>
        <w:spacing w:before="120" w:after="120"/>
        <w:textAlignment w:val="baseline"/>
        <w:rPr>
          <w:rFonts w:ascii="Merriweather" w:eastAsia="Times New Roman" w:hAnsi="Merriweather" w:cs="Times New Roman"/>
          <w:color w:val="2A2A2A"/>
          <w:sz w:val="23"/>
          <w:szCs w:val="23"/>
          <w:lang w:val="en-US" w:eastAsia="es-ES_tradnl"/>
        </w:rPr>
      </w:pPr>
      <w:r w:rsidRPr="00DF5830">
        <w:rPr>
          <w:rFonts w:ascii="Merriweather" w:eastAsia="Times New Roman" w:hAnsi="Merriweather" w:cs="Times New Roman"/>
          <w:color w:val="2A2A2A"/>
          <w:sz w:val="23"/>
          <w:szCs w:val="23"/>
          <w:lang w:val="en-US" w:eastAsia="es-ES_tradnl"/>
        </w:rPr>
        <w:t>indicate any ongoing specific data analysis plans here to avoid duplication of effort by others interested in the data resource;</w:t>
      </w:r>
    </w:p>
    <w:p w14:paraId="4624F0C0" w14:textId="77777777" w:rsidR="00DF5830" w:rsidRPr="00DF5830" w:rsidRDefault="00DF5830" w:rsidP="00DF5830">
      <w:pPr>
        <w:numPr>
          <w:ilvl w:val="0"/>
          <w:numId w:val="8"/>
        </w:numPr>
        <w:shd w:val="clear" w:color="auto" w:fill="FFFFFF"/>
        <w:spacing w:before="120"/>
        <w:textAlignment w:val="baseline"/>
        <w:rPr>
          <w:rFonts w:ascii="Merriweather" w:eastAsia="Times New Roman" w:hAnsi="Merriweather" w:cs="Times New Roman"/>
          <w:color w:val="2A2A2A"/>
          <w:sz w:val="23"/>
          <w:szCs w:val="23"/>
          <w:lang w:val="en-US" w:eastAsia="es-ES_tradnl"/>
        </w:rPr>
      </w:pPr>
      <w:r w:rsidRPr="00DF5830">
        <w:rPr>
          <w:rFonts w:ascii="Merriweather" w:eastAsia="Times New Roman" w:hAnsi="Merriweather" w:cs="Times New Roman"/>
          <w:color w:val="2A2A2A"/>
          <w:sz w:val="23"/>
          <w:szCs w:val="23"/>
          <w:lang w:val="en-US" w:eastAsia="es-ES_tradnl"/>
        </w:rPr>
        <w:t>provide an up-to-date citation list for work published on the data resource.</w:t>
      </w:r>
    </w:p>
    <w:p w14:paraId="1234CFF7" w14:textId="77777777" w:rsidR="00DF5830" w:rsidRPr="00DF5830" w:rsidRDefault="00DF5830" w:rsidP="00DF5830">
      <w:pPr>
        <w:shd w:val="clear" w:color="auto" w:fill="FFFFFF"/>
        <w:spacing w:before="100" w:beforeAutospacing="1" w:after="100" w:afterAutospacing="1" w:line="306" w:lineRule="atLeast"/>
        <w:textAlignment w:val="baseline"/>
        <w:outlineLvl w:val="3"/>
        <w:rPr>
          <w:rFonts w:ascii="Source Sans Pro" w:eastAsia="Times New Roman" w:hAnsi="Source Sans Pro" w:cs="Times New Roman"/>
          <w:b/>
          <w:bCs/>
          <w:color w:val="2A2A2A"/>
          <w:lang w:val="en-US" w:eastAsia="es-ES_tradnl"/>
        </w:rPr>
      </w:pPr>
      <w:r w:rsidRPr="00DF5830">
        <w:rPr>
          <w:rFonts w:ascii="Source Sans Pro" w:eastAsia="Times New Roman" w:hAnsi="Source Sans Pro" w:cs="Times New Roman"/>
          <w:b/>
          <w:bCs/>
          <w:color w:val="2A2A2A"/>
          <w:lang w:val="en-US" w:eastAsia="es-ES_tradnl"/>
        </w:rPr>
        <w:t>Strengths and Weaknesses</w:t>
      </w:r>
    </w:p>
    <w:p w14:paraId="0F1B04E2" w14:textId="77777777" w:rsidR="00DF5830" w:rsidRPr="00DF5830" w:rsidRDefault="00DF5830" w:rsidP="00DF5830">
      <w:pPr>
        <w:shd w:val="clear" w:color="auto" w:fill="FFFFFF"/>
        <w:spacing w:before="100" w:beforeAutospacing="1" w:after="100" w:afterAutospacing="1"/>
        <w:textAlignment w:val="baseline"/>
        <w:rPr>
          <w:rFonts w:ascii="Merriweather" w:eastAsia="Times New Roman" w:hAnsi="Merriweather" w:cs="Times New Roman"/>
          <w:color w:val="2A2A2A"/>
          <w:sz w:val="23"/>
          <w:szCs w:val="23"/>
          <w:lang w:val="en-US" w:eastAsia="es-ES_tradnl"/>
        </w:rPr>
      </w:pPr>
      <w:r w:rsidRPr="00DF5830">
        <w:rPr>
          <w:rFonts w:ascii="Merriweather" w:eastAsia="Times New Roman" w:hAnsi="Merriweather" w:cs="Times New Roman"/>
          <w:color w:val="2A2A2A"/>
          <w:sz w:val="23"/>
          <w:szCs w:val="23"/>
          <w:lang w:val="en-US" w:eastAsia="es-ES_tradnl"/>
        </w:rPr>
        <w:t>Please cover both strengths and weaknesses.</w:t>
      </w:r>
    </w:p>
    <w:p w14:paraId="1A9716E3" w14:textId="77777777" w:rsidR="00DF5830" w:rsidRPr="00DF5830" w:rsidRDefault="00DF5830" w:rsidP="00DF5830">
      <w:pPr>
        <w:shd w:val="clear" w:color="auto" w:fill="FFFFFF"/>
        <w:spacing w:before="100" w:beforeAutospacing="1" w:after="100" w:afterAutospacing="1" w:line="306" w:lineRule="atLeast"/>
        <w:textAlignment w:val="baseline"/>
        <w:outlineLvl w:val="3"/>
        <w:rPr>
          <w:rFonts w:ascii="Source Sans Pro" w:eastAsia="Times New Roman" w:hAnsi="Source Sans Pro" w:cs="Times New Roman"/>
          <w:b/>
          <w:bCs/>
          <w:color w:val="2A2A2A"/>
          <w:lang w:val="en-US" w:eastAsia="es-ES_tradnl"/>
        </w:rPr>
      </w:pPr>
      <w:r w:rsidRPr="00DF5830">
        <w:rPr>
          <w:rFonts w:ascii="Source Sans Pro" w:eastAsia="Times New Roman" w:hAnsi="Source Sans Pro" w:cs="Times New Roman"/>
          <w:b/>
          <w:bCs/>
          <w:color w:val="2A2A2A"/>
          <w:lang w:val="en-US" w:eastAsia="es-ES_tradnl"/>
        </w:rPr>
        <w:t>Data Resource Access</w:t>
      </w:r>
    </w:p>
    <w:p w14:paraId="3155D290" w14:textId="77777777" w:rsidR="00DF5830" w:rsidRPr="00DF5830" w:rsidRDefault="00DF5830" w:rsidP="00DF5830">
      <w:pPr>
        <w:shd w:val="clear" w:color="auto" w:fill="FFFFFF"/>
        <w:spacing w:before="100" w:beforeAutospacing="1" w:after="100" w:afterAutospacing="1"/>
        <w:textAlignment w:val="baseline"/>
        <w:rPr>
          <w:rFonts w:ascii="Merriweather" w:eastAsia="Times New Roman" w:hAnsi="Merriweather" w:cs="Times New Roman"/>
          <w:color w:val="2A2A2A"/>
          <w:sz w:val="23"/>
          <w:szCs w:val="23"/>
          <w:lang w:val="en-US" w:eastAsia="es-ES_tradnl"/>
        </w:rPr>
      </w:pPr>
      <w:r w:rsidRPr="00DF5830">
        <w:rPr>
          <w:rFonts w:ascii="Merriweather" w:eastAsia="Times New Roman" w:hAnsi="Merriweather" w:cs="Times New Roman"/>
          <w:color w:val="2A2A2A"/>
          <w:sz w:val="23"/>
          <w:szCs w:val="23"/>
          <w:lang w:val="en-US" w:eastAsia="es-ES_tradnl"/>
        </w:rPr>
        <w:t>Note that at least one of the authors of a Data Resource Profile must be a researcher involved with the data resource presented and be available to readers as a contact person.</w:t>
      </w:r>
    </w:p>
    <w:p w14:paraId="447BBED2" w14:textId="77777777" w:rsidR="00DF5830" w:rsidRPr="00DF5830" w:rsidRDefault="00DF5830" w:rsidP="00DF5830">
      <w:pPr>
        <w:shd w:val="clear" w:color="auto" w:fill="FFFFFF"/>
        <w:spacing w:before="100" w:beforeAutospacing="1" w:after="100" w:afterAutospacing="1"/>
        <w:textAlignment w:val="baseline"/>
        <w:rPr>
          <w:rFonts w:ascii="Merriweather" w:eastAsia="Times New Roman" w:hAnsi="Merriweather" w:cs="Times New Roman"/>
          <w:color w:val="2A2A2A"/>
          <w:sz w:val="23"/>
          <w:szCs w:val="23"/>
          <w:lang w:eastAsia="es-ES_tradnl"/>
        </w:rPr>
      </w:pPr>
      <w:r w:rsidRPr="00DF5830">
        <w:rPr>
          <w:rFonts w:ascii="Merriweather" w:eastAsia="Times New Roman" w:hAnsi="Merriweather" w:cs="Times New Roman"/>
          <w:color w:val="2A2A2A"/>
          <w:sz w:val="23"/>
          <w:szCs w:val="23"/>
          <w:lang w:eastAsia="es-ES_tradnl"/>
        </w:rPr>
        <w:t>Please:</w:t>
      </w:r>
    </w:p>
    <w:p w14:paraId="5A545654" w14:textId="77777777" w:rsidR="00DF5830" w:rsidRPr="00DF5830" w:rsidRDefault="00DF5830" w:rsidP="00DF5830">
      <w:pPr>
        <w:numPr>
          <w:ilvl w:val="0"/>
          <w:numId w:val="9"/>
        </w:numPr>
        <w:shd w:val="clear" w:color="auto" w:fill="FFFFFF"/>
        <w:spacing w:after="120"/>
        <w:textAlignment w:val="baseline"/>
        <w:rPr>
          <w:rFonts w:ascii="Merriweather" w:eastAsia="Times New Roman" w:hAnsi="Merriweather" w:cs="Times New Roman"/>
          <w:color w:val="2A2A2A"/>
          <w:sz w:val="23"/>
          <w:szCs w:val="23"/>
          <w:lang w:val="en-US" w:eastAsia="es-ES_tradnl"/>
        </w:rPr>
      </w:pPr>
      <w:r w:rsidRPr="00DF5830">
        <w:rPr>
          <w:rFonts w:ascii="Merriweather" w:eastAsia="Times New Roman" w:hAnsi="Merriweather" w:cs="Times New Roman"/>
          <w:color w:val="2A2A2A"/>
          <w:sz w:val="23"/>
          <w:szCs w:val="23"/>
          <w:lang w:val="en-US" w:eastAsia="es-ES_tradnl"/>
        </w:rPr>
        <w:t>provide a web address if the data are open access;</w:t>
      </w:r>
    </w:p>
    <w:p w14:paraId="7080BEC3" w14:textId="77777777" w:rsidR="00DF5830" w:rsidRPr="00DF5830" w:rsidRDefault="00DF5830" w:rsidP="00DF5830">
      <w:pPr>
        <w:numPr>
          <w:ilvl w:val="0"/>
          <w:numId w:val="9"/>
        </w:numPr>
        <w:shd w:val="clear" w:color="auto" w:fill="FFFFFF"/>
        <w:spacing w:before="120" w:after="120"/>
        <w:textAlignment w:val="baseline"/>
        <w:rPr>
          <w:rFonts w:ascii="Merriweather" w:eastAsia="Times New Roman" w:hAnsi="Merriweather" w:cs="Times New Roman"/>
          <w:color w:val="2A2A2A"/>
          <w:sz w:val="23"/>
          <w:szCs w:val="23"/>
          <w:lang w:val="en-US" w:eastAsia="es-ES_tradnl"/>
        </w:rPr>
      </w:pPr>
      <w:r w:rsidRPr="00DF5830">
        <w:rPr>
          <w:rFonts w:ascii="Merriweather" w:eastAsia="Times New Roman" w:hAnsi="Merriweather" w:cs="Times New Roman"/>
          <w:color w:val="2A2A2A"/>
          <w:sz w:val="23"/>
          <w:szCs w:val="23"/>
          <w:lang w:val="en-US" w:eastAsia="es-ES_tradnl"/>
        </w:rPr>
        <w:lastRenderedPageBreak/>
        <w:t>provide links to the relevant documentation such as variable lists or data dictionaries, where available</w:t>
      </w:r>
    </w:p>
    <w:p w14:paraId="16232E69" w14:textId="77777777" w:rsidR="00DF5830" w:rsidRPr="00DF5830" w:rsidRDefault="00DF5830" w:rsidP="00DF5830">
      <w:pPr>
        <w:numPr>
          <w:ilvl w:val="0"/>
          <w:numId w:val="9"/>
        </w:numPr>
        <w:shd w:val="clear" w:color="auto" w:fill="FFFFFF"/>
        <w:spacing w:before="120" w:after="120"/>
        <w:textAlignment w:val="baseline"/>
        <w:rPr>
          <w:rFonts w:ascii="Merriweather" w:eastAsia="Times New Roman" w:hAnsi="Merriweather" w:cs="Times New Roman"/>
          <w:color w:val="2A2A2A"/>
          <w:sz w:val="23"/>
          <w:szCs w:val="23"/>
          <w:lang w:val="en-US" w:eastAsia="es-ES_tradnl"/>
        </w:rPr>
      </w:pPr>
      <w:r w:rsidRPr="00DF5830">
        <w:rPr>
          <w:rFonts w:ascii="Merriweather" w:eastAsia="Times New Roman" w:hAnsi="Merriweather" w:cs="Times New Roman"/>
          <w:color w:val="2A2A2A"/>
          <w:sz w:val="23"/>
          <w:szCs w:val="23"/>
          <w:lang w:val="en-US" w:eastAsia="es-ES_tradnl"/>
        </w:rPr>
        <w:t>describe variable formats and naming conventions;</w:t>
      </w:r>
    </w:p>
    <w:p w14:paraId="5EB83774" w14:textId="77777777" w:rsidR="00DF5830" w:rsidRPr="00DF5830" w:rsidRDefault="00DF5830" w:rsidP="00DF5830">
      <w:pPr>
        <w:numPr>
          <w:ilvl w:val="0"/>
          <w:numId w:val="9"/>
        </w:numPr>
        <w:shd w:val="clear" w:color="auto" w:fill="FFFFFF"/>
        <w:spacing w:before="120" w:after="120"/>
        <w:textAlignment w:val="baseline"/>
        <w:rPr>
          <w:rFonts w:ascii="Merriweather" w:eastAsia="Times New Roman" w:hAnsi="Merriweather" w:cs="Times New Roman"/>
          <w:color w:val="2A2A2A"/>
          <w:sz w:val="23"/>
          <w:szCs w:val="23"/>
          <w:lang w:val="en-US" w:eastAsia="es-ES_tradnl"/>
        </w:rPr>
      </w:pPr>
      <w:r w:rsidRPr="00DF5830">
        <w:rPr>
          <w:rFonts w:ascii="Merriweather" w:eastAsia="Times New Roman" w:hAnsi="Merriweather" w:cs="Times New Roman"/>
          <w:color w:val="2A2A2A"/>
          <w:sz w:val="23"/>
          <w:szCs w:val="23"/>
          <w:lang w:val="en-US" w:eastAsia="es-ES_tradnl"/>
        </w:rPr>
        <w:t>indicate any software required to access the data;</w:t>
      </w:r>
    </w:p>
    <w:p w14:paraId="5C3437A7" w14:textId="77777777" w:rsidR="00DF5830" w:rsidRPr="00DF5830" w:rsidRDefault="00DF5830" w:rsidP="00DF5830">
      <w:pPr>
        <w:numPr>
          <w:ilvl w:val="0"/>
          <w:numId w:val="9"/>
        </w:numPr>
        <w:shd w:val="clear" w:color="auto" w:fill="FFFFFF"/>
        <w:spacing w:before="120" w:after="120"/>
        <w:textAlignment w:val="baseline"/>
        <w:rPr>
          <w:rFonts w:ascii="Merriweather" w:eastAsia="Times New Roman" w:hAnsi="Merriweather" w:cs="Times New Roman"/>
          <w:color w:val="2A2A2A"/>
          <w:sz w:val="23"/>
          <w:szCs w:val="23"/>
          <w:lang w:val="en-US" w:eastAsia="es-ES_tradnl"/>
        </w:rPr>
      </w:pPr>
      <w:r w:rsidRPr="00DF5830">
        <w:rPr>
          <w:rFonts w:ascii="Merriweather" w:eastAsia="Times New Roman" w:hAnsi="Merriweather" w:cs="Times New Roman"/>
          <w:color w:val="2A2A2A"/>
          <w:sz w:val="23"/>
          <w:szCs w:val="23"/>
          <w:lang w:val="en-US" w:eastAsia="es-ES_tradnl"/>
        </w:rPr>
        <w:t>indicate any digital object identifiers of the data resource here;</w:t>
      </w:r>
    </w:p>
    <w:p w14:paraId="5A47EBB1" w14:textId="77777777" w:rsidR="00DF5830" w:rsidRPr="00DF5830" w:rsidRDefault="00DF5830" w:rsidP="00DF5830">
      <w:pPr>
        <w:numPr>
          <w:ilvl w:val="0"/>
          <w:numId w:val="9"/>
        </w:numPr>
        <w:shd w:val="clear" w:color="auto" w:fill="FFFFFF"/>
        <w:spacing w:before="120" w:after="120"/>
        <w:textAlignment w:val="baseline"/>
        <w:rPr>
          <w:rFonts w:ascii="Merriweather" w:eastAsia="Times New Roman" w:hAnsi="Merriweather" w:cs="Times New Roman"/>
          <w:color w:val="2A2A2A"/>
          <w:sz w:val="23"/>
          <w:szCs w:val="23"/>
          <w:lang w:val="en-US" w:eastAsia="es-ES_tradnl"/>
        </w:rPr>
      </w:pPr>
      <w:r w:rsidRPr="00DF5830">
        <w:rPr>
          <w:rFonts w:ascii="Merriweather" w:eastAsia="Times New Roman" w:hAnsi="Merriweather" w:cs="Times New Roman"/>
          <w:color w:val="2A2A2A"/>
          <w:sz w:val="23"/>
          <w:szCs w:val="23"/>
          <w:lang w:val="en-US" w:eastAsia="es-ES_tradnl"/>
        </w:rPr>
        <w:t>indicate where and how to apply for access to the data if permission is required;</w:t>
      </w:r>
    </w:p>
    <w:p w14:paraId="1429BFF8" w14:textId="77777777" w:rsidR="00DF5830" w:rsidRPr="00DF5830" w:rsidRDefault="00DF5830" w:rsidP="00DF5830">
      <w:pPr>
        <w:numPr>
          <w:ilvl w:val="0"/>
          <w:numId w:val="9"/>
        </w:numPr>
        <w:shd w:val="clear" w:color="auto" w:fill="FFFFFF"/>
        <w:spacing w:before="120" w:after="120"/>
        <w:textAlignment w:val="baseline"/>
        <w:rPr>
          <w:rFonts w:ascii="Merriweather" w:eastAsia="Times New Roman" w:hAnsi="Merriweather" w:cs="Times New Roman"/>
          <w:color w:val="2A2A2A"/>
          <w:sz w:val="23"/>
          <w:szCs w:val="23"/>
          <w:lang w:val="en-US" w:eastAsia="es-ES_tradnl"/>
        </w:rPr>
      </w:pPr>
      <w:r w:rsidRPr="00DF5830">
        <w:rPr>
          <w:rFonts w:ascii="Merriweather" w:eastAsia="Times New Roman" w:hAnsi="Merriweather" w:cs="Times New Roman"/>
          <w:color w:val="2A2A2A"/>
          <w:sz w:val="23"/>
          <w:szCs w:val="23"/>
          <w:lang w:val="en-US" w:eastAsia="es-ES_tradnl"/>
        </w:rPr>
        <w:t>describe opportunities for collaboration if access to the data is more limited; and</w:t>
      </w:r>
    </w:p>
    <w:p w14:paraId="20B63854" w14:textId="77777777" w:rsidR="00DF5830" w:rsidRPr="00DF5830" w:rsidRDefault="00DF5830" w:rsidP="00DF5830">
      <w:pPr>
        <w:numPr>
          <w:ilvl w:val="0"/>
          <w:numId w:val="9"/>
        </w:numPr>
        <w:shd w:val="clear" w:color="auto" w:fill="FFFFFF"/>
        <w:spacing w:before="120"/>
        <w:textAlignment w:val="baseline"/>
        <w:rPr>
          <w:rFonts w:ascii="Merriweather" w:eastAsia="Times New Roman" w:hAnsi="Merriweather" w:cs="Times New Roman"/>
          <w:color w:val="2A2A2A"/>
          <w:sz w:val="23"/>
          <w:szCs w:val="23"/>
          <w:lang w:val="en-US" w:eastAsia="es-ES_tradnl"/>
        </w:rPr>
      </w:pPr>
      <w:r w:rsidRPr="00DF5830">
        <w:rPr>
          <w:rFonts w:ascii="Merriweather" w:eastAsia="Times New Roman" w:hAnsi="Merriweather" w:cs="Times New Roman"/>
          <w:color w:val="2A2A2A"/>
          <w:sz w:val="23"/>
          <w:szCs w:val="23"/>
          <w:lang w:val="en-US" w:eastAsia="es-ES_tradnl"/>
        </w:rPr>
        <w:t>provide the name and contact details of a researcher to whom enquiries can be submitted.</w:t>
      </w:r>
    </w:p>
    <w:p w14:paraId="099BC0F1" w14:textId="77777777" w:rsidR="00DF5830" w:rsidRPr="00DF5830" w:rsidRDefault="00DF5830" w:rsidP="00DF5830">
      <w:pPr>
        <w:shd w:val="clear" w:color="auto" w:fill="FFFFFF"/>
        <w:spacing w:before="100" w:beforeAutospacing="1" w:after="100" w:afterAutospacing="1" w:line="306" w:lineRule="atLeast"/>
        <w:textAlignment w:val="baseline"/>
        <w:outlineLvl w:val="3"/>
        <w:rPr>
          <w:rFonts w:ascii="Source Sans Pro" w:eastAsia="Times New Roman" w:hAnsi="Source Sans Pro" w:cs="Times New Roman"/>
          <w:b/>
          <w:bCs/>
          <w:color w:val="2A2A2A"/>
          <w:lang w:val="en-US" w:eastAsia="es-ES_tradnl"/>
        </w:rPr>
      </w:pPr>
      <w:r w:rsidRPr="00DF5830">
        <w:rPr>
          <w:rFonts w:ascii="Source Sans Pro" w:eastAsia="Times New Roman" w:hAnsi="Source Sans Pro" w:cs="Times New Roman"/>
          <w:b/>
          <w:bCs/>
          <w:color w:val="2A2A2A"/>
          <w:lang w:val="en-US" w:eastAsia="es-ES_tradnl"/>
        </w:rPr>
        <w:t>Ethics approval</w:t>
      </w:r>
    </w:p>
    <w:p w14:paraId="37458989" w14:textId="77777777" w:rsidR="00DF5830" w:rsidRPr="00DF5830" w:rsidRDefault="00DF5830" w:rsidP="00DF5830">
      <w:pPr>
        <w:shd w:val="clear" w:color="auto" w:fill="FFFFFF"/>
        <w:spacing w:beforeAutospacing="1" w:afterAutospacing="1"/>
        <w:textAlignment w:val="baseline"/>
        <w:rPr>
          <w:rFonts w:ascii="Merriweather" w:eastAsia="Times New Roman" w:hAnsi="Merriweather" w:cs="Times New Roman"/>
          <w:color w:val="2A2A2A"/>
          <w:sz w:val="23"/>
          <w:szCs w:val="23"/>
          <w:lang w:val="en-US" w:eastAsia="es-ES_tradnl"/>
        </w:rPr>
      </w:pPr>
      <w:r w:rsidRPr="00DF5830">
        <w:rPr>
          <w:rFonts w:ascii="Merriweather" w:eastAsia="Times New Roman" w:hAnsi="Merriweather" w:cs="Times New Roman"/>
          <w:color w:val="2A2A2A"/>
          <w:sz w:val="23"/>
          <w:szCs w:val="23"/>
          <w:lang w:val="en-US" w:eastAsia="es-ES_tradnl"/>
        </w:rPr>
        <w:t>See the general </w:t>
      </w:r>
      <w:hyperlink r:id="rId15" w:anchor="Manuscript%20preparation" w:history="1">
        <w:r w:rsidRPr="00DF5830">
          <w:rPr>
            <w:rFonts w:ascii="Merriweather" w:eastAsia="Times New Roman" w:hAnsi="Merriweather" w:cs="Times New Roman"/>
            <w:color w:val="006FB7"/>
            <w:sz w:val="23"/>
            <w:szCs w:val="23"/>
            <w:u w:val="single"/>
            <w:bdr w:val="none" w:sz="0" w:space="0" w:color="auto" w:frame="1"/>
            <w:lang w:val="en-US" w:eastAsia="es-ES_tradnl"/>
          </w:rPr>
          <w:t>Manuscript Preparation</w:t>
        </w:r>
      </w:hyperlink>
      <w:r w:rsidRPr="00DF5830">
        <w:rPr>
          <w:rFonts w:ascii="Merriweather" w:eastAsia="Times New Roman" w:hAnsi="Merriweather" w:cs="Times New Roman"/>
          <w:color w:val="2A2A2A"/>
          <w:sz w:val="23"/>
          <w:szCs w:val="23"/>
          <w:lang w:val="en-US" w:eastAsia="es-ES_tradnl"/>
        </w:rPr>
        <w:t> instructions.</w:t>
      </w:r>
    </w:p>
    <w:p w14:paraId="01BA1827" w14:textId="77777777" w:rsidR="00DF5830" w:rsidRPr="00DF5830" w:rsidRDefault="00DF5830" w:rsidP="00DF5830">
      <w:pPr>
        <w:shd w:val="clear" w:color="auto" w:fill="FFFFFF"/>
        <w:spacing w:before="100" w:beforeAutospacing="1" w:after="100" w:afterAutospacing="1" w:line="306" w:lineRule="atLeast"/>
        <w:textAlignment w:val="baseline"/>
        <w:outlineLvl w:val="3"/>
        <w:rPr>
          <w:rFonts w:ascii="Source Sans Pro" w:eastAsia="Times New Roman" w:hAnsi="Source Sans Pro" w:cs="Times New Roman"/>
          <w:b/>
          <w:bCs/>
          <w:color w:val="2A2A2A"/>
          <w:lang w:val="en-US" w:eastAsia="es-ES_tradnl"/>
        </w:rPr>
      </w:pPr>
      <w:r w:rsidRPr="00DF5830">
        <w:rPr>
          <w:rFonts w:ascii="Source Sans Pro" w:eastAsia="Times New Roman" w:hAnsi="Source Sans Pro" w:cs="Times New Roman"/>
          <w:b/>
          <w:bCs/>
          <w:color w:val="2A2A2A"/>
          <w:lang w:val="en-US" w:eastAsia="es-ES_tradnl"/>
        </w:rPr>
        <w:t>Author contributions</w:t>
      </w:r>
    </w:p>
    <w:p w14:paraId="5B3D394D" w14:textId="77777777" w:rsidR="00DF5830" w:rsidRPr="00DF5830" w:rsidRDefault="00DF5830" w:rsidP="00DF5830">
      <w:pPr>
        <w:shd w:val="clear" w:color="auto" w:fill="FFFFFF"/>
        <w:spacing w:beforeAutospacing="1" w:afterAutospacing="1"/>
        <w:textAlignment w:val="baseline"/>
        <w:rPr>
          <w:rFonts w:ascii="Merriweather" w:eastAsia="Times New Roman" w:hAnsi="Merriweather" w:cs="Times New Roman"/>
          <w:color w:val="2A2A2A"/>
          <w:sz w:val="23"/>
          <w:szCs w:val="23"/>
          <w:lang w:val="en-US" w:eastAsia="es-ES_tradnl"/>
        </w:rPr>
      </w:pPr>
      <w:r w:rsidRPr="00DF5830">
        <w:rPr>
          <w:rFonts w:ascii="Merriweather" w:eastAsia="Times New Roman" w:hAnsi="Merriweather" w:cs="Times New Roman"/>
          <w:color w:val="2A2A2A"/>
          <w:sz w:val="23"/>
          <w:szCs w:val="23"/>
          <w:lang w:val="en-US" w:eastAsia="es-ES_tradnl"/>
        </w:rPr>
        <w:t>These are now required. See the general </w:t>
      </w:r>
      <w:hyperlink r:id="rId16" w:anchor="Manuscript%20preparation" w:history="1">
        <w:r w:rsidRPr="00DF5830">
          <w:rPr>
            <w:rFonts w:ascii="Merriweather" w:eastAsia="Times New Roman" w:hAnsi="Merriweather" w:cs="Times New Roman"/>
            <w:color w:val="006FB7"/>
            <w:sz w:val="23"/>
            <w:szCs w:val="23"/>
            <w:u w:val="single"/>
            <w:bdr w:val="none" w:sz="0" w:space="0" w:color="auto" w:frame="1"/>
            <w:lang w:val="en-US" w:eastAsia="es-ES_tradnl"/>
          </w:rPr>
          <w:t>Manuscript Preparation</w:t>
        </w:r>
      </w:hyperlink>
      <w:r w:rsidRPr="00DF5830">
        <w:rPr>
          <w:rFonts w:ascii="Merriweather" w:eastAsia="Times New Roman" w:hAnsi="Merriweather" w:cs="Times New Roman"/>
          <w:color w:val="2A2A2A"/>
          <w:sz w:val="23"/>
          <w:szCs w:val="23"/>
          <w:lang w:val="en-US" w:eastAsia="es-ES_tradnl"/>
        </w:rPr>
        <w:t> instructions.</w:t>
      </w:r>
    </w:p>
    <w:p w14:paraId="56CC3476" w14:textId="77777777" w:rsidR="00DF5830" w:rsidRPr="00DF5830" w:rsidRDefault="00DF5830" w:rsidP="00DF5830">
      <w:pPr>
        <w:shd w:val="clear" w:color="auto" w:fill="FFFFFF"/>
        <w:spacing w:before="100" w:beforeAutospacing="1" w:after="100" w:afterAutospacing="1" w:line="306" w:lineRule="atLeast"/>
        <w:textAlignment w:val="baseline"/>
        <w:outlineLvl w:val="3"/>
        <w:rPr>
          <w:rFonts w:ascii="Source Sans Pro" w:eastAsia="Times New Roman" w:hAnsi="Source Sans Pro" w:cs="Times New Roman"/>
          <w:b/>
          <w:bCs/>
          <w:color w:val="2A2A2A"/>
          <w:lang w:val="en-US" w:eastAsia="es-ES_tradnl"/>
        </w:rPr>
      </w:pPr>
      <w:r w:rsidRPr="00DF5830">
        <w:rPr>
          <w:rFonts w:ascii="Source Sans Pro" w:eastAsia="Times New Roman" w:hAnsi="Source Sans Pro" w:cs="Times New Roman"/>
          <w:b/>
          <w:bCs/>
          <w:color w:val="2A2A2A"/>
          <w:lang w:val="en-US" w:eastAsia="es-ES_tradnl"/>
        </w:rPr>
        <w:t>Supplementary data</w:t>
      </w:r>
    </w:p>
    <w:p w14:paraId="73057C83" w14:textId="77777777" w:rsidR="00DF5830" w:rsidRPr="00DF5830" w:rsidRDefault="00DF5830" w:rsidP="00DF5830">
      <w:pPr>
        <w:shd w:val="clear" w:color="auto" w:fill="FFFFFF"/>
        <w:spacing w:before="100" w:beforeAutospacing="1" w:after="100" w:afterAutospacing="1"/>
        <w:textAlignment w:val="baseline"/>
        <w:rPr>
          <w:rFonts w:ascii="Merriweather" w:eastAsia="Times New Roman" w:hAnsi="Merriweather" w:cs="Times New Roman"/>
          <w:color w:val="2A2A2A"/>
          <w:sz w:val="23"/>
          <w:szCs w:val="23"/>
          <w:lang w:val="en-US" w:eastAsia="es-ES_tradnl"/>
        </w:rPr>
      </w:pPr>
      <w:r w:rsidRPr="00DF5830">
        <w:rPr>
          <w:rFonts w:ascii="Merriweather" w:eastAsia="Times New Roman" w:hAnsi="Merriweather" w:cs="Times New Roman"/>
          <w:color w:val="2A2A2A"/>
          <w:sz w:val="23"/>
          <w:szCs w:val="23"/>
          <w:lang w:val="en-US" w:eastAsia="es-ES_tradnl"/>
        </w:rPr>
        <w:t>If your submission includes these, please add: “Supplementary data are available at IJE online”.</w:t>
      </w:r>
    </w:p>
    <w:p w14:paraId="3486B224" w14:textId="77777777" w:rsidR="00DF5830" w:rsidRPr="00DF5830" w:rsidRDefault="00DF5830" w:rsidP="00DF5830">
      <w:pPr>
        <w:shd w:val="clear" w:color="auto" w:fill="FFFFFF"/>
        <w:spacing w:before="100" w:beforeAutospacing="1" w:after="100" w:afterAutospacing="1" w:line="306" w:lineRule="atLeast"/>
        <w:textAlignment w:val="baseline"/>
        <w:outlineLvl w:val="3"/>
        <w:rPr>
          <w:rFonts w:ascii="Source Sans Pro" w:eastAsia="Times New Roman" w:hAnsi="Source Sans Pro" w:cs="Times New Roman"/>
          <w:b/>
          <w:bCs/>
          <w:color w:val="2A2A2A"/>
          <w:lang w:val="en-US" w:eastAsia="es-ES_tradnl"/>
        </w:rPr>
      </w:pPr>
      <w:r w:rsidRPr="00DF5830">
        <w:rPr>
          <w:rFonts w:ascii="Source Sans Pro" w:eastAsia="Times New Roman" w:hAnsi="Source Sans Pro" w:cs="Times New Roman"/>
          <w:b/>
          <w:bCs/>
          <w:color w:val="2A2A2A"/>
          <w:lang w:val="en-US" w:eastAsia="es-ES_tradnl"/>
        </w:rPr>
        <w:t>Funding</w:t>
      </w:r>
    </w:p>
    <w:p w14:paraId="2E6CCEFE" w14:textId="77777777" w:rsidR="00DF5830" w:rsidRPr="00DF5830" w:rsidRDefault="00DF5830" w:rsidP="00DF5830">
      <w:pPr>
        <w:shd w:val="clear" w:color="auto" w:fill="FFFFFF"/>
        <w:spacing w:beforeAutospacing="1" w:afterAutospacing="1"/>
        <w:textAlignment w:val="baseline"/>
        <w:rPr>
          <w:rFonts w:ascii="Merriweather" w:eastAsia="Times New Roman" w:hAnsi="Merriweather" w:cs="Times New Roman"/>
          <w:color w:val="2A2A2A"/>
          <w:sz w:val="23"/>
          <w:szCs w:val="23"/>
          <w:lang w:val="en-US" w:eastAsia="es-ES_tradnl"/>
        </w:rPr>
      </w:pPr>
      <w:r w:rsidRPr="00DF5830">
        <w:rPr>
          <w:rFonts w:ascii="Merriweather" w:eastAsia="Times New Roman" w:hAnsi="Merriweather" w:cs="Times New Roman"/>
          <w:color w:val="2A2A2A"/>
          <w:sz w:val="23"/>
          <w:szCs w:val="23"/>
          <w:lang w:val="en-US" w:eastAsia="es-ES_tradnl"/>
        </w:rPr>
        <w:t>See the general </w:t>
      </w:r>
      <w:hyperlink r:id="rId17" w:anchor="Manuscript%20preparation" w:history="1">
        <w:r w:rsidRPr="00DF5830">
          <w:rPr>
            <w:rFonts w:ascii="Merriweather" w:eastAsia="Times New Roman" w:hAnsi="Merriweather" w:cs="Times New Roman"/>
            <w:color w:val="006FB7"/>
            <w:sz w:val="23"/>
            <w:szCs w:val="23"/>
            <w:u w:val="single"/>
            <w:bdr w:val="none" w:sz="0" w:space="0" w:color="auto" w:frame="1"/>
            <w:lang w:val="en-US" w:eastAsia="es-ES_tradnl"/>
          </w:rPr>
          <w:t>Manuscript Preparation</w:t>
        </w:r>
      </w:hyperlink>
      <w:r w:rsidRPr="00DF5830">
        <w:rPr>
          <w:rFonts w:ascii="Merriweather" w:eastAsia="Times New Roman" w:hAnsi="Merriweather" w:cs="Times New Roman"/>
          <w:color w:val="2A2A2A"/>
          <w:sz w:val="23"/>
          <w:szCs w:val="23"/>
          <w:lang w:val="en-US" w:eastAsia="es-ES_tradnl"/>
        </w:rPr>
        <w:t> instructions.</w:t>
      </w:r>
    </w:p>
    <w:p w14:paraId="1F4DBDCB" w14:textId="77777777" w:rsidR="00DF5830" w:rsidRPr="00DF5830" w:rsidRDefault="00DF5830" w:rsidP="00DF5830">
      <w:pPr>
        <w:shd w:val="clear" w:color="auto" w:fill="FFFFFF"/>
        <w:spacing w:before="100" w:beforeAutospacing="1" w:after="100" w:afterAutospacing="1" w:line="306" w:lineRule="atLeast"/>
        <w:textAlignment w:val="baseline"/>
        <w:outlineLvl w:val="3"/>
        <w:rPr>
          <w:rFonts w:ascii="Source Sans Pro" w:eastAsia="Times New Roman" w:hAnsi="Source Sans Pro" w:cs="Times New Roman"/>
          <w:b/>
          <w:bCs/>
          <w:color w:val="2A2A2A"/>
          <w:lang w:val="en-US" w:eastAsia="es-ES_tradnl"/>
        </w:rPr>
      </w:pPr>
      <w:r w:rsidRPr="00DF5830">
        <w:rPr>
          <w:rFonts w:ascii="Source Sans Pro" w:eastAsia="Times New Roman" w:hAnsi="Source Sans Pro" w:cs="Times New Roman"/>
          <w:b/>
          <w:bCs/>
          <w:color w:val="2A2A2A"/>
          <w:lang w:val="en-US" w:eastAsia="es-ES_tradnl"/>
        </w:rPr>
        <w:t>Acknowledgements</w:t>
      </w:r>
    </w:p>
    <w:p w14:paraId="0476CE38" w14:textId="77777777" w:rsidR="00DF5830" w:rsidRPr="00DF5830" w:rsidRDefault="00DF5830" w:rsidP="00DF5830">
      <w:pPr>
        <w:shd w:val="clear" w:color="auto" w:fill="FFFFFF"/>
        <w:spacing w:beforeAutospacing="1" w:afterAutospacing="1"/>
        <w:textAlignment w:val="baseline"/>
        <w:rPr>
          <w:rFonts w:ascii="Merriweather" w:eastAsia="Times New Roman" w:hAnsi="Merriweather" w:cs="Times New Roman"/>
          <w:color w:val="2A2A2A"/>
          <w:sz w:val="23"/>
          <w:szCs w:val="23"/>
          <w:lang w:val="en-US" w:eastAsia="es-ES_tradnl"/>
        </w:rPr>
      </w:pPr>
      <w:r w:rsidRPr="00DF5830">
        <w:rPr>
          <w:rFonts w:ascii="Merriweather" w:eastAsia="Times New Roman" w:hAnsi="Merriweather" w:cs="Times New Roman"/>
          <w:color w:val="2A2A2A"/>
          <w:sz w:val="23"/>
          <w:szCs w:val="23"/>
          <w:lang w:val="en-US" w:eastAsia="es-ES_tradnl"/>
        </w:rPr>
        <w:t>This section is optional. See the general </w:t>
      </w:r>
      <w:hyperlink r:id="rId18" w:anchor="Manuscript%20preparation" w:history="1">
        <w:r w:rsidRPr="00DF5830">
          <w:rPr>
            <w:rFonts w:ascii="Merriweather" w:eastAsia="Times New Roman" w:hAnsi="Merriweather" w:cs="Times New Roman"/>
            <w:color w:val="006FB7"/>
            <w:sz w:val="23"/>
            <w:szCs w:val="23"/>
            <w:u w:val="single"/>
            <w:bdr w:val="none" w:sz="0" w:space="0" w:color="auto" w:frame="1"/>
            <w:lang w:val="en-US" w:eastAsia="es-ES_tradnl"/>
          </w:rPr>
          <w:t>Manuscript Preparation</w:t>
        </w:r>
      </w:hyperlink>
      <w:r w:rsidRPr="00DF5830">
        <w:rPr>
          <w:rFonts w:ascii="Merriweather" w:eastAsia="Times New Roman" w:hAnsi="Merriweather" w:cs="Times New Roman"/>
          <w:color w:val="2A2A2A"/>
          <w:sz w:val="23"/>
          <w:szCs w:val="23"/>
          <w:lang w:val="en-US" w:eastAsia="es-ES_tradnl"/>
        </w:rPr>
        <w:t> instructions.</w:t>
      </w:r>
    </w:p>
    <w:p w14:paraId="5CD1FA08" w14:textId="77777777" w:rsidR="00DF5830" w:rsidRPr="00DF5830" w:rsidRDefault="00DF5830" w:rsidP="00DF5830">
      <w:pPr>
        <w:shd w:val="clear" w:color="auto" w:fill="FFFFFF"/>
        <w:spacing w:before="100" w:beforeAutospacing="1" w:after="100" w:afterAutospacing="1" w:line="306" w:lineRule="atLeast"/>
        <w:textAlignment w:val="baseline"/>
        <w:outlineLvl w:val="3"/>
        <w:rPr>
          <w:rFonts w:ascii="Source Sans Pro" w:eastAsia="Times New Roman" w:hAnsi="Source Sans Pro" w:cs="Times New Roman"/>
          <w:b/>
          <w:bCs/>
          <w:color w:val="2A2A2A"/>
          <w:lang w:val="en-US" w:eastAsia="es-ES_tradnl"/>
        </w:rPr>
      </w:pPr>
      <w:r w:rsidRPr="00DF5830">
        <w:rPr>
          <w:rFonts w:ascii="Source Sans Pro" w:eastAsia="Times New Roman" w:hAnsi="Source Sans Pro" w:cs="Times New Roman"/>
          <w:b/>
          <w:bCs/>
          <w:color w:val="2A2A2A"/>
          <w:lang w:val="en-US" w:eastAsia="es-ES_tradnl"/>
        </w:rPr>
        <w:t>Conflict of interest</w:t>
      </w:r>
    </w:p>
    <w:p w14:paraId="7E71EDE1" w14:textId="77777777" w:rsidR="00DF5830" w:rsidRPr="00DF5830" w:rsidRDefault="00DF5830" w:rsidP="00DF5830">
      <w:pPr>
        <w:shd w:val="clear" w:color="auto" w:fill="FFFFFF"/>
        <w:spacing w:beforeAutospacing="1" w:afterAutospacing="1"/>
        <w:textAlignment w:val="baseline"/>
        <w:rPr>
          <w:rFonts w:ascii="Merriweather" w:eastAsia="Times New Roman" w:hAnsi="Merriweather" w:cs="Times New Roman"/>
          <w:color w:val="2A2A2A"/>
          <w:sz w:val="23"/>
          <w:szCs w:val="23"/>
          <w:lang w:val="en-US" w:eastAsia="es-ES_tradnl"/>
        </w:rPr>
      </w:pPr>
      <w:r w:rsidRPr="00DF5830">
        <w:rPr>
          <w:rFonts w:ascii="Merriweather" w:eastAsia="Times New Roman" w:hAnsi="Merriweather" w:cs="Times New Roman"/>
          <w:color w:val="2A2A2A"/>
          <w:sz w:val="23"/>
          <w:szCs w:val="23"/>
          <w:lang w:val="en-US" w:eastAsia="es-ES_tradnl"/>
        </w:rPr>
        <w:t>See the general </w:t>
      </w:r>
      <w:hyperlink r:id="rId19" w:anchor="Manuscript%20preparation" w:history="1">
        <w:r w:rsidRPr="00DF5830">
          <w:rPr>
            <w:rFonts w:ascii="Merriweather" w:eastAsia="Times New Roman" w:hAnsi="Merriweather" w:cs="Times New Roman"/>
            <w:color w:val="006FB7"/>
            <w:sz w:val="23"/>
            <w:szCs w:val="23"/>
            <w:u w:val="single"/>
            <w:bdr w:val="none" w:sz="0" w:space="0" w:color="auto" w:frame="1"/>
            <w:lang w:val="en-US" w:eastAsia="es-ES_tradnl"/>
          </w:rPr>
          <w:t>Manuscript Preparation</w:t>
        </w:r>
      </w:hyperlink>
      <w:r w:rsidRPr="00DF5830">
        <w:rPr>
          <w:rFonts w:ascii="Merriweather" w:eastAsia="Times New Roman" w:hAnsi="Merriweather" w:cs="Times New Roman"/>
          <w:color w:val="2A2A2A"/>
          <w:sz w:val="23"/>
          <w:szCs w:val="23"/>
          <w:lang w:val="en-US" w:eastAsia="es-ES_tradnl"/>
        </w:rPr>
        <w:t> instructions.</w:t>
      </w:r>
    </w:p>
    <w:p w14:paraId="5F804255" w14:textId="77777777" w:rsidR="00AF6A23" w:rsidRPr="00DF5830" w:rsidRDefault="00AF6A23">
      <w:pPr>
        <w:rPr>
          <w:lang w:val="en-US"/>
        </w:rPr>
      </w:pPr>
    </w:p>
    <w:sectPr w:rsidR="00AF6A23" w:rsidRPr="00DF58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Merriweather">
    <w:panose1 w:val="00000500000000000000"/>
    <w:charset w:val="4D"/>
    <w:family w:val="auto"/>
    <w:pitch w:val="variable"/>
    <w:sig w:usb0="20000207" w:usb1="00000002" w:usb2="00000000" w:usb3="00000000" w:csb0="00000197"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7669F"/>
    <w:multiLevelType w:val="multilevel"/>
    <w:tmpl w:val="3A36A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F716B5"/>
    <w:multiLevelType w:val="multilevel"/>
    <w:tmpl w:val="BD4C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5E7123"/>
    <w:multiLevelType w:val="multilevel"/>
    <w:tmpl w:val="401A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0F12C7"/>
    <w:multiLevelType w:val="multilevel"/>
    <w:tmpl w:val="0AA81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3B6192"/>
    <w:multiLevelType w:val="multilevel"/>
    <w:tmpl w:val="B7E8F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173F65"/>
    <w:multiLevelType w:val="multilevel"/>
    <w:tmpl w:val="997A7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AB2A41"/>
    <w:multiLevelType w:val="multilevel"/>
    <w:tmpl w:val="4FE67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CD102B"/>
    <w:multiLevelType w:val="multilevel"/>
    <w:tmpl w:val="D93E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C3C4046"/>
    <w:multiLevelType w:val="multilevel"/>
    <w:tmpl w:val="D7F21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41839295">
    <w:abstractNumId w:val="4"/>
  </w:num>
  <w:num w:numId="2" w16cid:durableId="1779369526">
    <w:abstractNumId w:val="0"/>
  </w:num>
  <w:num w:numId="3" w16cid:durableId="2365651">
    <w:abstractNumId w:val="6"/>
  </w:num>
  <w:num w:numId="4" w16cid:durableId="344136371">
    <w:abstractNumId w:val="2"/>
  </w:num>
  <w:num w:numId="5" w16cid:durableId="2031643903">
    <w:abstractNumId w:val="7"/>
  </w:num>
  <w:num w:numId="6" w16cid:durableId="1307927181">
    <w:abstractNumId w:val="3"/>
  </w:num>
  <w:num w:numId="7" w16cid:durableId="429424586">
    <w:abstractNumId w:val="5"/>
  </w:num>
  <w:num w:numId="8" w16cid:durableId="1055854638">
    <w:abstractNumId w:val="1"/>
  </w:num>
  <w:num w:numId="9" w16cid:durableId="18296638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830"/>
    <w:rsid w:val="00AC5B5D"/>
    <w:rsid w:val="00AF6A23"/>
    <w:rsid w:val="00DF58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2DB4EB85"/>
  <w15:chartTrackingRefBased/>
  <w15:docId w15:val="{5BDC46B6-B367-5C4C-86AA-6FF81BBA3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DF5830"/>
    <w:pPr>
      <w:spacing w:before="100" w:beforeAutospacing="1" w:after="100" w:afterAutospacing="1"/>
      <w:outlineLvl w:val="2"/>
    </w:pPr>
    <w:rPr>
      <w:rFonts w:ascii="Times New Roman" w:eastAsia="Times New Roman" w:hAnsi="Times New Roman" w:cs="Times New Roman"/>
      <w:b/>
      <w:bCs/>
      <w:sz w:val="27"/>
      <w:szCs w:val="27"/>
      <w:lang w:eastAsia="es-ES_tradnl"/>
    </w:rPr>
  </w:style>
  <w:style w:type="paragraph" w:styleId="Ttulo4">
    <w:name w:val="heading 4"/>
    <w:basedOn w:val="Normal"/>
    <w:link w:val="Ttulo4Car"/>
    <w:uiPriority w:val="9"/>
    <w:qFormat/>
    <w:rsid w:val="00DF5830"/>
    <w:pPr>
      <w:spacing w:before="100" w:beforeAutospacing="1" w:after="100" w:afterAutospacing="1"/>
      <w:outlineLvl w:val="3"/>
    </w:pPr>
    <w:rPr>
      <w:rFonts w:ascii="Times New Roman" w:eastAsia="Times New Roman" w:hAnsi="Times New Roman" w:cs="Times New Roman"/>
      <w:b/>
      <w:bCs/>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F5830"/>
    <w:rPr>
      <w:rFonts w:ascii="Times New Roman" w:eastAsia="Times New Roman" w:hAnsi="Times New Roman" w:cs="Times New Roman"/>
      <w:b/>
      <w:bCs/>
      <w:sz w:val="27"/>
      <w:szCs w:val="27"/>
      <w:lang w:eastAsia="es-ES_tradnl"/>
    </w:rPr>
  </w:style>
  <w:style w:type="character" w:customStyle="1" w:styleId="Ttulo4Car">
    <w:name w:val="Título 4 Car"/>
    <w:basedOn w:val="Fuentedeprrafopredeter"/>
    <w:link w:val="Ttulo4"/>
    <w:uiPriority w:val="9"/>
    <w:rsid w:val="00DF5830"/>
    <w:rPr>
      <w:rFonts w:ascii="Times New Roman" w:eastAsia="Times New Roman" w:hAnsi="Times New Roman" w:cs="Times New Roman"/>
      <w:b/>
      <w:bCs/>
      <w:lang w:eastAsia="es-ES_tradnl"/>
    </w:rPr>
  </w:style>
  <w:style w:type="paragraph" w:styleId="NormalWeb">
    <w:name w:val="Normal (Web)"/>
    <w:basedOn w:val="Normal"/>
    <w:uiPriority w:val="99"/>
    <w:semiHidden/>
    <w:unhideWhenUsed/>
    <w:rsid w:val="00DF5830"/>
    <w:pPr>
      <w:spacing w:before="100" w:beforeAutospacing="1" w:after="100" w:afterAutospacing="1"/>
    </w:pPr>
    <w:rPr>
      <w:rFonts w:ascii="Times New Roman" w:eastAsia="Times New Roman" w:hAnsi="Times New Roman" w:cs="Times New Roman"/>
      <w:lang w:eastAsia="es-ES_tradnl"/>
    </w:rPr>
  </w:style>
  <w:style w:type="character" w:styleId="Hipervnculo">
    <w:name w:val="Hyperlink"/>
    <w:basedOn w:val="Fuentedeprrafopredeter"/>
    <w:uiPriority w:val="99"/>
    <w:semiHidden/>
    <w:unhideWhenUsed/>
    <w:rsid w:val="00DF5830"/>
    <w:rPr>
      <w:color w:val="0000FF"/>
      <w:u w:val="single"/>
    </w:rPr>
  </w:style>
  <w:style w:type="character" w:styleId="nfasis">
    <w:name w:val="Emphasis"/>
    <w:basedOn w:val="Fuentedeprrafopredeter"/>
    <w:uiPriority w:val="20"/>
    <w:qFormat/>
    <w:rsid w:val="00DF58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585024">
      <w:bodyDiv w:val="1"/>
      <w:marLeft w:val="0"/>
      <w:marRight w:val="0"/>
      <w:marTop w:val="0"/>
      <w:marBottom w:val="0"/>
      <w:divBdr>
        <w:top w:val="none" w:sz="0" w:space="0" w:color="auto"/>
        <w:left w:val="none" w:sz="0" w:space="0" w:color="auto"/>
        <w:bottom w:val="none" w:sz="0" w:space="0" w:color="auto"/>
        <w:right w:val="none" w:sz="0" w:space="0" w:color="auto"/>
      </w:divBdr>
      <w:divsChild>
        <w:div w:id="609088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093/ije/dyw248" TargetMode="External"/><Relationship Id="rId18" Type="http://schemas.openxmlformats.org/officeDocument/2006/relationships/hyperlink" Target="https://academic.oup.com/ije/pages/General_Instruction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mortality.org/" TargetMode="External"/><Relationship Id="rId12" Type="http://schemas.openxmlformats.org/officeDocument/2006/relationships/hyperlink" Target="http://doi.org/10.1093/ije/dyz034" TargetMode="External"/><Relationship Id="rId17" Type="http://schemas.openxmlformats.org/officeDocument/2006/relationships/hyperlink" Target="https://academic.oup.com/ije/pages/General_Instructions" TargetMode="External"/><Relationship Id="rId2" Type="http://schemas.openxmlformats.org/officeDocument/2006/relationships/styles" Target="styles.xml"/><Relationship Id="rId16" Type="http://schemas.openxmlformats.org/officeDocument/2006/relationships/hyperlink" Target="https://academic.oup.com/ije/pages/General_Instruction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c.europa.eu/eurostat/web/income-and-living-conditions"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hyperlink" Target="https://academic.oup.com/ije/pages/General_Instructions" TargetMode="External"/><Relationship Id="rId10" Type="http://schemas.openxmlformats.org/officeDocument/2006/relationships/hyperlink" Target="https://academic.oup.com/ije/pages/General_Instructions" TargetMode="External"/><Relationship Id="rId19" Type="http://schemas.openxmlformats.org/officeDocument/2006/relationships/hyperlink" Target="https://academic.oup.com/ije/pages/General_Instructions" TargetMode="External"/><Relationship Id="rId4" Type="http://schemas.openxmlformats.org/officeDocument/2006/relationships/webSettings" Target="webSettings.xml"/><Relationship Id="rId9" Type="http://schemas.openxmlformats.org/officeDocument/2006/relationships/hyperlink" Target="https://academic.oup.com/ije/pages/General_Instructions" TargetMode="External"/><Relationship Id="rId14" Type="http://schemas.openxmlformats.org/officeDocument/2006/relationships/hyperlink" Target="https://doi.org/10.1093/ije/dyy04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1288</Words>
  <Characters>7089</Characters>
  <Application>Microsoft Office Word</Application>
  <DocSecurity>0</DocSecurity>
  <Lines>59</Lines>
  <Paragraphs>16</Paragraphs>
  <ScaleCrop>false</ScaleCrop>
  <Company/>
  <LinksUpToDate>false</LinksUpToDate>
  <CharactersWithSpaces>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2022-11-30T10:45:00Z</dcterms:created>
  <dcterms:modified xsi:type="dcterms:W3CDTF">2022-11-30T10:46:00Z</dcterms:modified>
</cp:coreProperties>
</file>