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Management Summary</w:t>
      </w:r>
    </w:p>
    <w:p>
      <w:pPr>
        <w:pStyle w:val="Subtitle"/>
      </w:pPr>
      <w:r>
        <w:t xml:space="preserve">Adventure Works — End-to-End Data Engineering Platform</w:t>
      </w:r>
    </w:p>
    <w:p>
      <w:pPr>
        <w:pStyle w:val="Author"/>
      </w:pPr>
      <w:r>
        <w:t xml:space="preserve">Balaji</w:t>
      </w:r>
    </w:p>
    <w:p>
      <w:pPr>
        <w:pStyle w:val="Date"/>
      </w:pPr>
      <w:r>
        <w:t xml:space="preserve">July 2026</w:t>
      </w:r>
    </w:p>
    <w:bookmarkStart w:id="21" w:name="management-summary"/>
    <w:p>
      <w:pPr>
        <w:pStyle w:val="Heading1"/>
      </w:pPr>
      <w:r>
        <w:t xml:space="preserve">Management Summary</w:t>
      </w:r>
    </w:p>
    <w:p>
      <w:pPr>
        <w:pStyle w:val="FirstParagraph"/>
      </w:pPr>
      <w:r>
        <w:rPr>
          <w:b/>
          <w:bCs/>
        </w:rPr>
        <w:t xml:space="preserve">Team / Author:</w:t>
      </w:r>
      <w:r>
        <w:t xml:space="preserve"> </w:t>
      </w:r>
      <w:r>
        <w:t xml:space="preserve">Balaji</w:t>
      </w:r>
    </w:p>
    <w:p>
      <w:r>
        <w:pict>
          <v:rect style="width:0;height:1.5pt" o:hralign="center" o:hrstd="t" o:hr="t"/>
        </w:pict>
      </w:r>
    </w:p>
    <w:bookmarkStart w:id="9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Adventure Works (Microsoft Sample Dataset)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Adventure Works is a fictional mid-sized bicycle manufacturer and retailer used as Microsoft’s canonical sample dataset. It covers multi-year transactional sales data (2015–2017) across seven interrelated entities: Sales, Customers, Products, Product Categories, Product Subcategories, Sales Territories, and Returns. The dataset is deliberately multi-source (CSV + JSON) and multi-year, making it ideal for demonstrating real-world data engineering patterns such as schema enforcement, historical batch loads, incremental streaming, and cross-table enrichment.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Approx.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(2015, 2016, 2017)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~56,000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~18,000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~293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Categories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4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Subcategories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17 subcategories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Territories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10 territories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~1,800 return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ject-hypothesis"/>
    <w:p>
      <w:pPr>
        <w:pStyle w:val="Heading2"/>
      </w:pPr>
      <w:r>
        <w:t xml:space="preserve">Project Hypothesis</w:t>
      </w:r>
    </w:p>
    <w:p>
      <w:pPr>
        <w:pStyle w:val="FirstParagraph"/>
      </w:pPr>
      <w:r>
        <w:t xml:space="preserve">A bicycle retail business generates rich transactional data across sales, customers, products, and territories. However, raw data scattered across flat CSV and JSON files cannot support reliable business reporting without a structured transformation pipeline.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By applying a Medallion Architecture (Bronze → Silver → Gold) on top of Databricks and Delta Lake — with automated quality gates, PII masking, streaming ingestion, and role-based governance — it is possible to turn raw Adventure Works files into a fully governed, dashboard-ready analytics platform that answers five critical business questions with confidence.</w:t>
      </w:r>
    </w:p>
    <w:p>
      <w:pPr>
        <w:pStyle w:val="BodyText"/>
      </w:pPr>
      <w:r>
        <w:t xml:space="preserve">The platform proves that data quality, security, and scalability are not afterthoughts but foundational design decisions embedded at every layer.</w:t>
      </w:r>
    </w:p>
    <w:p>
      <w:r>
        <w:pict>
          <v:rect style="width:0;height:1.5pt" o:hralign="center" o:hrstd="t" o:hr="t"/>
        </w:pict>
      </w:r>
    </w:p>
    <w:bookmarkEnd w:id="10"/>
    <w:bookmarkStart w:id="11" w:name="key-business-questions"/>
    <w:p>
      <w:pPr>
        <w:pStyle w:val="Heading2"/>
      </w:pPr>
      <w:r>
        <w:t xml:space="preserve">Key Business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Trend</w:t>
      </w:r>
      <w:r>
        <w:t xml:space="preserve"> </w:t>
      </w:r>
      <w:r>
        <w:t xml:space="preserve">— What is total revenue and order volume by year and month?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Performance</w:t>
      </w:r>
      <w:r>
        <w:t xml:space="preserve"> </w:t>
      </w:r>
      <w:r>
        <w:t xml:space="preserve">— Which product categories and subcategories drive the most revenue?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Territory Analysis</w:t>
      </w:r>
      <w:r>
        <w:t xml:space="preserve"> </w:t>
      </w:r>
      <w:r>
        <w:t xml:space="preserve">— Which sales territories and regions perform best?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 Rate</w:t>
      </w:r>
      <w:r>
        <w:t xml:space="preserve"> </w:t>
      </w:r>
      <w:r>
        <w:t xml:space="preserve">— What is the product return rate by category, and which products are returned most?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Lifetime Value</w:t>
      </w:r>
      <w:r>
        <w:t xml:space="preserve"> </w:t>
      </w:r>
      <w:r>
        <w:t xml:space="preserve">— Who are our top customers by lifetime spending?</w:t>
      </w:r>
    </w:p>
    <w:p>
      <w:r>
        <w:pict>
          <v:rect style="width:0;height:1.5pt" o:hralign="center" o:hrstd="t" o:hr="t"/>
        </w:pict>
      </w:r>
    </w:p>
    <w:bookmarkEnd w:id="11"/>
    <w:bookmarkStart w:id="12" w:name="architecture-technology-stack"/>
    <w:p>
      <w:pPr>
        <w:pStyle w:val="Heading2"/>
      </w:pPr>
      <w:r>
        <w:t xml:space="preserve">Architecture &amp; Technology Stack</w:t>
      </w:r>
    </w:p>
    <w:p>
      <w:pPr>
        <w:pStyle w:val="FirstParagraph"/>
      </w:pPr>
      <w:r>
        <w:t xml:space="preserve">The platform follows the</w:t>
      </w:r>
      <w:r>
        <w:t xml:space="preserve"> </w:t>
      </w:r>
      <w:r>
        <w:rPr>
          <w:b/>
          <w:bCs/>
        </w:rPr>
        <w:t xml:space="preserve">Medallion Architecture</w:t>
      </w:r>
      <w:r>
        <w:t xml:space="preserve"> </w:t>
      </w:r>
      <w:r>
        <w:t xml:space="preserve">(three-layer data lakehouse) built entirely on Databricks and Delta Lake:</w:t>
      </w:r>
    </w:p>
    <w:p>
      <w:pPr>
        <w:pStyle w:val="SourceCode"/>
      </w:pPr>
      <w:r>
        <w:rPr>
          <w:rStyle w:val="VerbatimChar"/>
        </w:rPr>
        <w:t xml:space="preserve">Raw Files (CSV + JSON)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 Batch Load (PySpark)</w:t>
      </w:r>
      <w:r>
        <w:br/>
      </w:r>
      <w:r>
        <w:rPr>
          <w:rStyle w:val="VerbatimChar"/>
        </w:rPr>
        <w:t xml:space="preserve">        └─── AutoLoader Streaming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BRONZE LAYER — Raw ingestion, schema enforcement, Delta Lake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SILVER LAYER — Type casting, deduplication, joins, PII masking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GOLD LAYER — Business aggregations, KPI tables, quality-gated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┌───────┴───────┐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  Databricks SQL    Power BI</w:t>
      </w:r>
      <w:r>
        <w:br/>
      </w:r>
      <w:r>
        <w:rPr>
          <w:rStyle w:val="VerbatimChar"/>
        </w:rPr>
        <w:t xml:space="preserve">  Dashboard         (Direct Query)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&amp; Processing</w:t>
            </w:r>
          </w:p>
        </w:tc>
        <w:tc>
          <w:tcPr/>
          <w:p>
            <w:pPr>
              <w:pStyle w:val="Compact"/>
            </w:pPr>
            <w:r>
              <w:t xml:space="preserve">Delta Lake + PySpark</w:t>
            </w:r>
          </w:p>
        </w:tc>
        <w:tc>
          <w:tcPr/>
          <w:p>
            <w:pPr>
              <w:pStyle w:val="Compact"/>
            </w:pPr>
            <w:r>
              <w:t xml:space="preserve">ACID transactions, time travel, schema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Ingestion</w:t>
            </w:r>
          </w:p>
        </w:tc>
        <w:tc>
          <w:tcPr/>
          <w:p>
            <w:pPr>
              <w:pStyle w:val="Compact"/>
            </w:pPr>
            <w:r>
              <w:t xml:space="preserve">PySpark CSV/JSON Reader</w:t>
            </w:r>
          </w:p>
        </w:tc>
        <w:tc>
          <w:tcPr/>
          <w:p>
            <w:pPr>
              <w:pStyle w:val="Compact"/>
            </w:pPr>
            <w:r>
              <w:t xml:space="preserve">Historical load of 3-year sales + all dimension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Ingestion</w:t>
            </w:r>
          </w:p>
        </w:tc>
        <w:tc>
          <w:tcPr/>
          <w:p>
            <w:pPr>
              <w:pStyle w:val="Compact"/>
            </w:pPr>
            <w:r>
              <w:t xml:space="preserve">Spark AutoLoader</w:t>
            </w:r>
          </w:p>
        </w:tc>
        <w:tc>
          <w:tcPr/>
          <w:p>
            <w:pPr>
              <w:pStyle w:val="Compact"/>
            </w:pPr>
            <w:r>
              <w:t xml:space="preserve">Incremental new-file detection, fault-tolerant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Transformations</w:t>
            </w:r>
          </w:p>
        </w:tc>
        <w:tc>
          <w:tcPr/>
          <w:p>
            <w:pPr>
              <w:pStyle w:val="Compact"/>
            </w:pPr>
            <w:r>
              <w:t xml:space="preserve">PySpark + Spark SQL</w:t>
            </w:r>
          </w:p>
        </w:tc>
        <w:tc>
          <w:tcPr/>
          <w:p>
            <w:pPr>
              <w:pStyle w:val="Compact"/>
            </w:pPr>
            <w:r>
              <w:t xml:space="preserve">Type casting, joins, window functions,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t xml:space="preserve">3-level namespace, GRANT/REVOKE, dynamic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PII Masking + Dynamic Views</w:t>
            </w:r>
          </w:p>
        </w:tc>
        <w:tc>
          <w:tcPr/>
          <w:p>
            <w:pPr>
              <w:pStyle w:val="Compact"/>
            </w:pPr>
            <w:r>
              <w:t xml:space="preserve">Email and phone redacted in Silver; role-based access in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Databricks Jobs (DAG)</w:t>
            </w:r>
          </w:p>
        </w:tc>
        <w:tc>
          <w:tcPr/>
          <w:p>
            <w:pPr>
              <w:pStyle w:val="Compact"/>
            </w:pPr>
            <w:r>
              <w:t xml:space="preserve">Parallel task execution across Bronze → Silver →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t xml:space="preserve">Custom Assertion Framework</w:t>
            </w:r>
          </w:p>
        </w:tc>
        <w:tc>
          <w:tcPr/>
          <w:p>
            <w:pPr>
              <w:pStyle w:val="Compact"/>
            </w:pPr>
            <w:r>
              <w:t xml:space="preserve">Schema, null, range, uniqueness checks at every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Visualisation</w:t>
            </w:r>
          </w:p>
        </w:tc>
        <w:tc>
          <w:tcPr/>
          <w:p>
            <w:pPr>
              <w:pStyle w:val="Compact"/>
            </w:pPr>
            <w:r>
              <w:t xml:space="preserve">Plotly (EDA) + Databricks SQL Dashboard + Power BI</w:t>
            </w:r>
          </w:p>
        </w:tc>
        <w:tc>
          <w:tcPr/>
          <w:p>
            <w:pPr>
              <w:pStyle w:val="Compact"/>
            </w:pPr>
            <w:r>
              <w:t xml:space="preserve">Exploratory and production-grade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unity-catalog-namespace"/>
    <w:p>
      <w:pPr>
        <w:pStyle w:val="Heading2"/>
      </w:pPr>
      <w:r>
        <w:t xml:space="preserve">Unity Catalog Namespace</w:t>
      </w:r>
    </w:p>
    <w:p>
      <w:pPr>
        <w:pStyle w:val="FirstParagraph"/>
      </w:pPr>
      <w:r>
        <w:t xml:space="preserve">All tables are governed under a three-level hierarchy in Databricks Unity Catalog:</w:t>
      </w:r>
    </w:p>
    <w:p>
      <w:pPr>
        <w:pStyle w:val="SourceCode"/>
      </w:pPr>
      <w:r>
        <w:rPr>
          <w:rStyle w:val="VerbatimChar"/>
        </w:rPr>
        <w:t xml:space="preserve">adventure_works_catalog</w:t>
      </w:r>
      <w:r>
        <w:br/>
      </w:r>
      <w:r>
        <w:rPr>
          <w:rStyle w:val="VerbatimChar"/>
        </w:rPr>
        <w:t xml:space="preserve">├── bronze_schema       (raw ingestion — 7 tables)</w:t>
      </w:r>
      <w:r>
        <w:br/>
      </w:r>
      <w:r>
        <w:rPr>
          <w:rStyle w:val="VerbatimChar"/>
        </w:rPr>
        <w:t xml:space="preserve">├── silver_schema       (cleaned + joined — 5 tables + 1 secure view)</w:t>
      </w:r>
      <w:r>
        <w:br/>
      </w:r>
      <w:r>
        <w:rPr>
          <w:rStyle w:val="VerbatimChar"/>
        </w:rPr>
        <w:t xml:space="preserve">└── gold_schema         (business aggregates — 5 KPI tables)</w:t>
      </w:r>
    </w:p>
    <w:p>
      <w:pPr>
        <w:pStyle w:val="FirstParagraph"/>
      </w:pPr>
      <w:r>
        <w:t xml:space="preserve">Analysts receive</w:t>
      </w:r>
      <w:r>
        <w:t xml:space="preserve"> </w:t>
      </w:r>
      <w:r>
        <w:rPr>
          <w:b/>
          <w:bCs/>
        </w:rPr>
        <w:t xml:space="preserve">SELECT on Gold only</w:t>
      </w:r>
      <w:r>
        <w:t xml:space="preserve">. Silver PII columns are accessible exclusively through a dynamic view that masks email and phone for non-admin roles.</w:t>
      </w:r>
    </w:p>
    <w:p>
      <w:r>
        <w:pict>
          <v:rect style="width:0;height:1.5pt" o:hralign="center" o:hrstd="t" o:hr="t"/>
        </w:pict>
      </w:r>
    </w:p>
    <w:bookmarkEnd w:id="13"/>
    <w:bookmarkStart w:id="14" w:name="data-quality-strategy"/>
    <w:p>
      <w:pPr>
        <w:pStyle w:val="Heading2"/>
      </w:pPr>
      <w:r>
        <w:t xml:space="preserve">Data Quality Strategy</w:t>
      </w:r>
    </w:p>
    <w:p>
      <w:pPr>
        <w:pStyle w:val="FirstParagraph"/>
      </w:pPr>
      <w:r>
        <w:t xml:space="preserve">A dedicated quality notebook layer (</w:t>
      </w:r>
      <w:r>
        <w:rPr>
          <w:rStyle w:val="VerbatimChar"/>
        </w:rPr>
        <w:t xml:space="preserve">04_quality/</w:t>
      </w:r>
      <w:r>
        <w:t xml:space="preserve">)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dashboard is populated, acting as a hard gate: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checks</w:t>
      </w:r>
      <w:r>
        <w:t xml:space="preserve"> </w:t>
      </w:r>
      <w:r>
        <w:t xml:space="preserve">— assert all expected columns exist at every layer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checks</w:t>
      </w:r>
      <w:r>
        <w:t xml:space="preserve"> </w:t>
      </w:r>
      <w:r>
        <w:t xml:space="preserve">— key join columns (ProductKey, CustomerKey, TerritoryKey) must have zero nulls in Silver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 count assertions</w:t>
      </w:r>
      <w:r>
        <w:t xml:space="preserve"> </w:t>
      </w:r>
      <w:r>
        <w:t xml:space="preserve">— Gold tables must meet minimum row thresholds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Range checks</w:t>
      </w:r>
      <w:r>
        <w:t xml:space="preserve"> </w:t>
      </w:r>
      <w:r>
        <w:t xml:space="preserve">— revenue and quantity values must fall within business-valid bounds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Uniqueness checks</w:t>
      </w:r>
      <w:r>
        <w:t xml:space="preserve"> </w:t>
      </w:r>
      <w:r>
        <w:t xml:space="preserve">— dimension key columns validated before joins to prevent fan-out</w:t>
      </w:r>
    </w:p>
    <w:p>
      <w:pPr>
        <w:pStyle w:val="FirstParagraph"/>
      </w:pPr>
      <w:r>
        <w:t xml:space="preserve">The orchestration DAG is wired so that the dashboard notebook only runs if all quality assertions pass.</w:t>
      </w:r>
    </w:p>
    <w:p>
      <w:r>
        <w:pict>
          <v:rect style="width:0;height:1.5pt" o:hralign="center" o:hrstd="t" o:hr="t"/>
        </w:pict>
      </w:r>
    </w:p>
    <w:bookmarkEnd w:id="14"/>
    <w:bookmarkStart w:id="15" w:name="security-pii-handling"/>
    <w:p>
      <w:pPr>
        <w:pStyle w:val="Heading2"/>
      </w:pPr>
      <w:r>
        <w:t xml:space="preserve">Security &amp; PII Handling</w:t>
      </w:r>
    </w:p>
    <w:p>
      <w:pPr>
        <w:pStyle w:val="FirstParagraph"/>
      </w:pPr>
      <w:r>
        <w:t xml:space="preserve">Customer PII is handled in two stages: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Silver Layer (Notebook)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 </w:t>
      </w:r>
      <w:r>
        <w:t xml:space="preserve">is masked to</w:t>
      </w:r>
      <w:r>
        <w:t xml:space="preserve"> </w:t>
      </w:r>
      <w:r>
        <w:rPr>
          <w:rStyle w:val="VerbatimChar"/>
        </w:rPr>
        <w:t xml:space="preserve">***@domain.com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is masked to</w:t>
      </w:r>
      <w:r>
        <w:t xml:space="preserve"> </w:t>
      </w:r>
      <w:r>
        <w:rPr>
          <w:rStyle w:val="VerbatimChar"/>
        </w:rPr>
        <w:t xml:space="preserve">***-***-4567</w:t>
      </w:r>
      <w:r>
        <w:t xml:space="preserve"> </w:t>
      </w:r>
      <w:r>
        <w:t xml:space="preserve">using PySpark regex transforms.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View (Unity Catalog)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customers_safe_view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is_account_group_member('admins')</w:t>
      </w:r>
      <w:r>
        <w:t xml:space="preserve"> </w:t>
      </w:r>
      <w:r>
        <w:t xml:space="preserve">to show full data only to privileged roles; all other users see the masked version.</w:t>
      </w:r>
    </w:p>
    <w:p>
      <w:pPr>
        <w:pStyle w:val="FirstParagraph"/>
      </w:pPr>
      <w:r>
        <w:t xml:space="preserve">This two-layer approach ensures PII protection holds both at the data level and at the query/access level.</w:t>
      </w:r>
    </w:p>
    <w:p>
      <w:r>
        <w:pict>
          <v:rect style="width:0;height:1.5pt" o:hralign="center" o:hrstd="t" o:hr="t"/>
        </w:pict>
      </w:r>
    </w:p>
    <w:bookmarkEnd w:id="15"/>
    <w:bookmarkStart w:id="16" w:name="streaming-integration"/>
    <w:p>
      <w:pPr>
        <w:pStyle w:val="Heading2"/>
      </w:pPr>
      <w:r>
        <w:t xml:space="preserve">Streaming Integration</w:t>
      </w:r>
    </w:p>
    <w:p>
      <w:pPr>
        <w:pStyle w:val="FirstParagraph"/>
      </w:pPr>
      <w:r>
        <w:t xml:space="preserve">A parallel AutoLoader stream (</w:t>
      </w:r>
      <w:r>
        <w:rPr>
          <w:rStyle w:val="VerbatimChar"/>
        </w:rPr>
        <w:t xml:space="preserve">01b_streaming/</w:t>
      </w:r>
      <w:r>
        <w:t xml:space="preserve">) continuously monitors a landing zone for new CSV sales files. It operates alongside the historical batch load, implementing a</w:t>
      </w:r>
      <w:r>
        <w:t xml:space="preserve"> </w:t>
      </w:r>
      <w:r>
        <w:rPr>
          <w:b/>
          <w:bCs/>
        </w:rPr>
        <w:t xml:space="preserve">Lambda-style architecture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path</w:t>
      </w:r>
      <w:r>
        <w:t xml:space="preserve"> </w:t>
      </w:r>
      <w:r>
        <w:t xml:space="preserve">— processes the full 2015–2017 history once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Stream path</w:t>
      </w:r>
      <w:r>
        <w:t xml:space="preserve"> </w:t>
      </w:r>
      <w:r>
        <w:t xml:space="preserve">— picks up any newly arriving sales files incrementally, appending to the same Bronze Delta table with checkpointing for exactly-once semantics</w:t>
      </w:r>
    </w:p>
    <w:p>
      <w:r>
        <w:pict>
          <v:rect style="width:0;height:1.5pt" o:hralign="center" o:hrstd="t" o:hr="t"/>
        </w:pict>
      </w:r>
    </w:p>
    <w:bookmarkEnd w:id="16"/>
    <w:bookmarkStart w:id="17" w:name="orchestration-pipeline-databricks-jobs"/>
    <w:p>
      <w:pPr>
        <w:pStyle w:val="Heading2"/>
      </w:pPr>
      <w:r>
        <w:t xml:space="preserve">Orchestration Pipeline (Databricks Jobs)</w:t>
      </w:r>
    </w:p>
    <w:p>
      <w:pPr>
        <w:pStyle w:val="FirstParagraph"/>
      </w:pPr>
      <w:r>
        <w:t xml:space="preserve">The pipeline is fully orchestrated as a DAG with six phases:</w:t>
      </w:r>
    </w:p>
    <w:p>
      <w:pPr>
        <w:pStyle w:val="SourceCode"/>
      </w:pPr>
      <w:r>
        <w:rPr>
          <w:rStyle w:val="VerbatimChar"/>
        </w:rPr>
        <w:t xml:space="preserve">Setup → Bronze (parallel) → Silver (parallel) → Gold (parallel) → Quality Gate → Dashboard</w:t>
      </w:r>
    </w:p>
    <w:p>
      <w:pPr>
        <w:pStyle w:val="FirstParagraph"/>
      </w:pPr>
      <w:r>
        <w:t xml:space="preserve">Total notebooks: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(15 Python/SQL pipeline notebooks + 2 quality/governance). Parallel execution within each phase reduces end-to-end latency.</w:t>
      </w:r>
    </w:p>
    <w:p>
      <w:r>
        <w:pict>
          <v:rect style="width:0;height:1.5pt" o:hralign="center" o:hrstd="t" o:hr="t"/>
        </w:pict>
      </w:r>
    </w:p>
    <w:bookmarkEnd w:id="17"/>
    <w:bookmarkStart w:id="18" w:name="final-outcomes-deliverables"/>
    <w:p>
      <w:pPr>
        <w:pStyle w:val="Heading2"/>
      </w:pPr>
      <w:r>
        <w:t xml:space="preserve">Final Outcomes &amp;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Delta tables (7)</w:t>
            </w:r>
          </w:p>
        </w:tc>
        <w:tc>
          <w:tcPr/>
          <w:p>
            <w:pPr>
              <w:pStyle w:val="Compact"/>
            </w:pPr>
            <w:r>
              <w:t xml:space="preserve">Raw ingestion, schema enforced, partitioned, audit-ready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Delta tables (5)</w:t>
            </w:r>
          </w:p>
        </w:tc>
        <w:tc>
          <w:tcPr/>
          <w:p>
            <w:pPr>
              <w:pStyle w:val="Compact"/>
            </w:pPr>
            <w:r>
              <w:t xml:space="preserve">Typed, deduplicated, PII-masked, joined business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KPI tables (5)</w:t>
            </w:r>
          </w:p>
        </w:tc>
        <w:tc>
          <w:tcPr/>
          <w:p>
            <w:pPr>
              <w:pStyle w:val="Compact"/>
            </w:pPr>
            <w:r>
              <w:t xml:space="preserve">Revenue by month, product revenue, territory summary, return rate, customer LTV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report</w:t>
            </w:r>
          </w:p>
        </w:tc>
        <w:tc>
          <w:tcPr/>
          <w:p>
            <w:pPr>
              <w:pStyle w:val="Compact"/>
            </w:pPr>
            <w:r>
              <w:t xml:space="preserve">Automated assertions passing across all 3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SQL Dashboard</w:t>
            </w:r>
          </w:p>
        </w:tc>
        <w:tc>
          <w:tcPr/>
          <w:p>
            <w:pPr>
              <w:pStyle w:val="Compact"/>
            </w:pPr>
            <w:r>
              <w:t xml:space="preserve">5 live charts + 4 KPI tiles answering all business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connection</w:t>
            </w:r>
          </w:p>
        </w:tc>
        <w:tc>
          <w:tcPr/>
          <w:p>
            <w:pPr>
              <w:pStyle w:val="Compact"/>
            </w:pPr>
            <w:r>
              <w:t xml:space="preserve">Gold tables exposed via Partner Connect for self-service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Catalog governance</w:t>
            </w:r>
          </w:p>
        </w:tc>
        <w:tc>
          <w:tcPr/>
          <w:p>
            <w:pPr>
              <w:pStyle w:val="Compact"/>
            </w:pPr>
            <w:r>
              <w:t xml:space="preserve">Full lineage, GRANTs, dynamic PII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(3 suites)</w:t>
            </w:r>
          </w:p>
        </w:tc>
        <w:tc>
          <w:tcPr/>
          <w:p>
            <w:pPr>
              <w:pStyle w:val="Compact"/>
            </w:pPr>
            <w:r>
              <w:t xml:space="preserve">Bronze, Silver, Gold transform logic tested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key-insights-illustrative"/>
    <w:p>
      <w:pPr>
        <w:pStyle w:val="Heading2"/>
      </w:pPr>
      <w:r>
        <w:t xml:space="preserve">Key Insights (Illustrative)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is concentrated in Q4</w:t>
      </w:r>
      <w:r>
        <w:t xml:space="preserve"> </w:t>
      </w:r>
      <w:r>
        <w:t xml:space="preserve">— Holiday season orders dominate year-over-year trends across 2015–2017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Bikes drive 90%+ of revenue</w:t>
      </w:r>
      <w:r>
        <w:t xml:space="preserve"> </w:t>
      </w:r>
      <w:r>
        <w:t xml:space="preserve">— Accessories and Clothing are high-volume but low-margin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North America leads territories</w:t>
      </w:r>
      <w:r>
        <w:t xml:space="preserve"> </w:t>
      </w:r>
      <w:r>
        <w:t xml:space="preserve">— US territories account for the majority of sales; Europe shows growth potential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 rate is low but category-specific</w:t>
      </w:r>
      <w:r>
        <w:t xml:space="preserve"> </w:t>
      </w:r>
      <w:r>
        <w:t xml:space="preserve">— Bikes have the lowest return rate; Accessories have the highest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 100 customers drive disproportionate LTV</w:t>
      </w:r>
      <w:r>
        <w:t xml:space="preserve"> </w:t>
      </w:r>
      <w:r>
        <w:t xml:space="preserve">— Classic 80/20 pattern holds across all three years</w:t>
      </w:r>
    </w:p>
    <w:p>
      <w:r>
        <w:pict>
          <v:rect style="width:0;height:1.5pt" o:hralign="center" o:hrstd="t" o:hr="t"/>
        </w:pict>
      </w:r>
    </w:p>
    <w:bookmarkEnd w:id="19"/>
    <w:bookmarkStart w:id="20" w:name="team"/>
    <w:p>
      <w:pPr>
        <w:pStyle w:val="Heading2"/>
      </w:pPr>
      <w:r>
        <w:t xml:space="preserve">Team</w:t>
      </w:r>
    </w:p>
    <w:p>
      <w:pPr>
        <w:pStyle w:val="FirstParagraph"/>
      </w:pPr>
      <w:r>
        <w:rPr>
          <w:b/>
          <w:bCs/>
        </w:rPr>
        <w:t xml:space="preserve">Balaji</w:t>
      </w:r>
      <w:r>
        <w:t xml:space="preserve"> </w:t>
      </w:r>
      <w:r>
        <w:t xml:space="preserve">— DE Upskilling Final Project | Adventure Works Dataset | July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Summary</dc:title>
  <dc:creator>Balaji</dc:creator>
  <cp:keywords/>
  <dcterms:created xsi:type="dcterms:W3CDTF">2026-07-13T07:36:28Z</dcterms:created>
  <dcterms:modified xsi:type="dcterms:W3CDTF">2026-07-13T07:36:28Z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Adventure Works — End-to-End Data Engineering Platform</vt:lpwstr>
  </property>
</Properties>
</file>