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D54228">
      <w:pPr>
        <w:keepNext/>
        <w:spacing w:before="200" w:after="120"/>
      </w:pPr>
      <w:r>
        <w:rPr>
          <w:rFonts w:ascii="Times New Roman" w:hAnsi="Times New Roman" w:eastAsia="微软雅黑"/>
          <w:b/>
          <w:color w:val="000000"/>
          <w:sz w:val="26"/>
        </w:rPr>
        <w:t>Part B</w:t>
      </w:r>
    </w:p>
    <w:p w14:paraId="53CC5791">
      <w:pPr>
        <w:spacing w:after="60" w:line="276" w:lineRule="auto"/>
      </w:pPr>
      <w:r>
        <w:rPr>
          <w:rFonts w:ascii="Times New Roman" w:hAnsi="Times New Roman" w:eastAsia="微软雅黑"/>
          <w:b/>
          <w:color w:val="000000"/>
          <w:sz w:val="21"/>
        </w:rPr>
        <w:t>Directions:</w:t>
      </w:r>
    </w:p>
    <w:p w14:paraId="4FA4F253">
      <w:pPr>
        <w:spacing w:after="240" w:line="276" w:lineRule="auto"/>
      </w:pPr>
      <w:r>
        <w:rPr>
          <w:rFonts w:ascii="Times New Roman" w:hAnsi="Times New Roman" w:eastAsia="微软雅黑"/>
          <w:b w:val="0"/>
          <w:color w:val="000000"/>
          <w:sz w:val="21"/>
        </w:rPr>
        <w:t>Read the following text and answer the questions by choosing the most suitable subheading from the list A-G for each of the numbered paragraphs (41-45). There are two extra subheadings. Mark your answers on the ANSWER SHEET. (10 points)</w:t>
      </w:r>
    </w:p>
    <w:p w14:paraId="396C2486">
      <w:pPr>
        <w:spacing w:after="80" w:line="269" w:lineRule="auto"/>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AI investment crowds out consumer-tech deals</w:t>
      </w:r>
    </w:p>
    <w:p w14:paraId="01E467E9">
      <w:pPr>
        <w:spacing w:after="80" w:line="269" w:lineRule="auto"/>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A crowded market can still produce a challenger</w:t>
      </w:r>
    </w:p>
    <w:p w14:paraId="5EEC5C32">
      <w:pPr>
        <w:spacing w:after="80" w:line="269" w:lineRule="auto"/>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Distinctive design does not remove business risks</w:t>
      </w:r>
    </w:p>
    <w:p w14:paraId="7F4823DB">
      <w:pPr>
        <w:spacing w:after="80" w:line="269" w:lineRule="auto"/>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Smartphone convergence squeezes single-purpose devices</w:t>
      </w:r>
    </w:p>
    <w:p w14:paraId="6016E5B1">
      <w:pPr>
        <w:spacing w:after="80" w:line="269" w:lineRule="auto"/>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Nothing must bridge minimalist hardware and wary AI users</w:t>
      </w:r>
    </w:p>
    <w:p w14:paraId="45765BB9">
      <w:pPr>
        <w:spacing w:after="80" w:line="269" w:lineRule="auto"/>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Nothing's rear screen is meant to limit screen time</w:t>
      </w:r>
    </w:p>
    <w:p w14:paraId="5542A873">
      <w:pPr>
        <w:spacing w:after="80" w:line="269" w:lineRule="auto"/>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Consumer tech has become more attractive to venture investors than AI</w:t>
      </w:r>
    </w:p>
    <w:p w14:paraId="54C16439">
      <w:pPr>
        <w:spacing w:after="120" w:line="278" w:lineRule="auto"/>
      </w:pPr>
      <w:r>
        <w:rPr>
          <w:rFonts w:ascii="Times New Roman" w:hAnsi="Times New Roman" w:eastAsia="微软雅黑"/>
          <w:b/>
          <w:color w:val="000000"/>
          <w:sz w:val="21"/>
        </w:rPr>
        <w:t xml:space="preserve">(41) </w:t>
      </w:r>
      <w:r>
        <w:rPr>
          <w:rFonts w:ascii="Times New Roman" w:hAnsi="Times New Roman" w:eastAsia="微软雅黑"/>
          <w:b w:val="0"/>
          <w:color w:val="000000"/>
          <w:sz w:val="21"/>
        </w:rPr>
        <w:t>As with public markets, those AI dollars have crowded out other investments, including the once red-hot area of consumer tech. After peaking near 3,000 in 2021, the number of VC deals for consumer tech was cut in half by last year, PitchBook data show, and the figure continues to slide in 2026.</w:t>
      </w:r>
    </w:p>
    <w:p w14:paraId="33CC64B0">
      <w:pPr>
        <w:spacing w:after="120" w:line="278" w:lineRule="auto"/>
      </w:pPr>
      <w:r>
        <w:rPr>
          <w:rFonts w:ascii="Times New Roman" w:hAnsi="Times New Roman" w:eastAsia="微软雅黑"/>
          <w:b/>
          <w:color w:val="000000"/>
          <w:sz w:val="21"/>
        </w:rPr>
        <w:t xml:space="preserve">(42) </w:t>
      </w:r>
      <w:r>
        <w:rPr>
          <w:rFonts w:ascii="Times New Roman" w:hAnsi="Times New Roman" w:eastAsia="微软雅黑"/>
          <w:b w:val="0"/>
          <w:color w:val="000000"/>
          <w:sz w:val="21"/>
        </w:rPr>
        <w:t>Blame the decline on the do-everything smartphone, which fills in as a camera, GPS, digital assistant, calculator, and all sorts of other products that once filled the aisles of an electronics shop. Jeff Barrington, managing director at Windsor Drake, tells Barron’s that building a consumer tech start-up is incredibly challenging. Margins are low, supply challenges are vast, and competition is fierce. “The other thing, too, is that the big Apples, Amazons, and Googles tend to copy or absorb the consumer tech products,” he says.</w:t>
      </w:r>
    </w:p>
    <w:p w14:paraId="0B360F56">
      <w:pPr>
        <w:spacing w:after="120" w:line="278" w:lineRule="auto"/>
      </w:pPr>
      <w:r>
        <w:rPr>
          <w:rFonts w:ascii="Times New Roman" w:hAnsi="Times New Roman" w:eastAsia="微软雅黑"/>
          <w:b/>
          <w:color w:val="000000"/>
          <w:sz w:val="21"/>
        </w:rPr>
        <w:t xml:space="preserve">(43) </w:t>
      </w:r>
      <w:r>
        <w:rPr>
          <w:rFonts w:ascii="Times New Roman" w:hAnsi="Times New Roman" w:eastAsia="微软雅黑"/>
          <w:b w:val="0"/>
          <w:color w:val="000000"/>
          <w:sz w:val="21"/>
        </w:rPr>
        <w:t>That history makes it all the more surprising that one of this year’s hottest consumer tech start-ups is taking on the establishment with a phone. Nothing, founded in 2020, began as an earbud maker before moving into smartphones and smartwatches. The products have a clean and modern aesthetic that has attracted a young audience looking to break away from tech giants Apple and Samsung Electronics. Its prices often undercut the competition. The Nothing 4a Pro phone with 256GB of storage starts at $599; a comparable iPhone17 goes for $799.</w:t>
      </w:r>
    </w:p>
    <w:p w14:paraId="5CEE5A8A">
      <w:pPr>
        <w:spacing w:after="120" w:line="278" w:lineRule="auto"/>
      </w:pPr>
      <w:r>
        <w:rPr>
          <w:rFonts w:ascii="Times New Roman" w:hAnsi="Times New Roman" w:eastAsia="微软雅黑"/>
          <w:b w:val="0"/>
          <w:color w:val="000000"/>
          <w:sz w:val="21"/>
        </w:rPr>
        <w:t>The company, which didn’t make executives available for interview, crossed $1 billion in lifetime sales in 2024. Nothing has garnered a lot of social-media attention, with Google trends for “Nothing Phone” and “Nothing headphones” both up 500% versus the previous five years.</w:t>
      </w:r>
    </w:p>
    <w:p w14:paraId="20539293">
      <w:pPr>
        <w:spacing w:after="120" w:line="278" w:lineRule="auto"/>
      </w:pPr>
      <w:r>
        <w:rPr>
          <w:rFonts w:ascii="Times New Roman" w:hAnsi="Times New Roman" w:eastAsia="微软雅黑"/>
          <w:b w:val="0"/>
          <w:color w:val="000000"/>
          <w:sz w:val="21"/>
        </w:rPr>
        <w:t>The company is a regular presence on TikTok, where users gloat about their choice of a non-Apple device. Nothing, itself, isn’t shy about taking on the tech behemoth. “This is a message to Apple,” said CEO Carl Pei in a video posted to his TikTok account in June. “My name is Carl. I make phones in London. And I’m gonna steal your customers. One bored iPhone user at a time.”</w:t>
      </w:r>
    </w:p>
    <w:p w14:paraId="62C69410">
      <w:pPr>
        <w:spacing w:after="120" w:line="278" w:lineRule="auto"/>
      </w:pPr>
      <w:r>
        <w:rPr>
          <w:rFonts w:ascii="Times New Roman" w:hAnsi="Times New Roman" w:eastAsia="微软雅黑"/>
          <w:b/>
          <w:color w:val="000000"/>
          <w:sz w:val="21"/>
        </w:rPr>
        <w:t xml:space="preserve">(44) </w:t>
      </w:r>
      <w:r>
        <w:rPr>
          <w:rFonts w:ascii="Times New Roman" w:hAnsi="Times New Roman" w:eastAsia="微软雅黑"/>
          <w:b w:val="0"/>
          <w:color w:val="000000"/>
          <w:sz w:val="21"/>
        </w:rPr>
        <w:t>In a fairly commoditized world of smartphones, Nothing has tried to stand out with at least one unusual feature: a rear display through which users can deliver notifications with various symbols and animations. The idea is to keep the phone facedown, limiting overall screen time.</w:t>
      </w:r>
    </w:p>
    <w:p w14:paraId="4EF5D321">
      <w:pPr>
        <w:spacing w:after="120" w:line="278" w:lineRule="auto"/>
      </w:pPr>
      <w:r>
        <w:rPr>
          <w:rFonts w:ascii="Times New Roman" w:hAnsi="Times New Roman" w:eastAsia="微软雅黑"/>
          <w:b w:val="0"/>
          <w:color w:val="000000"/>
          <w:sz w:val="21"/>
        </w:rPr>
        <w:t>Nothing has raised $456 million, per PitchBook, including a Series C funding round that brought in $200 million last year, giving the company a valuation of $1.3 billion. It’s rare air for consumer tech firms. According to PitchBook, of more than 31,000 VC-funded consumer tech companies, just 0.4% have generated a $1 billion-plus exit. Even for those, it’s often a tough go.</w:t>
      </w:r>
    </w:p>
    <w:p w14:paraId="3C0C0BD5">
      <w:pPr>
        <w:spacing w:after="120" w:line="278" w:lineRule="auto"/>
      </w:pPr>
      <w:r>
        <w:rPr>
          <w:rFonts w:ascii="Times New Roman" w:hAnsi="Times New Roman" w:eastAsia="微软雅黑"/>
          <w:b w:val="0"/>
          <w:color w:val="000000"/>
          <w:sz w:val="21"/>
        </w:rPr>
        <w:t>Fitbit, the wearable fitness-tracking device firm founded in 2007, raised about $66 million in VC funding before going public in 2015 with a $4.1 billion market value. Six years later, the firm sold itself to Alphabet’s Google for half that amount.</w:t>
      </w:r>
    </w:p>
    <w:p w14:paraId="1C20F4F5">
      <w:pPr>
        <w:spacing w:after="120" w:line="278" w:lineRule="auto"/>
      </w:pPr>
      <w:r>
        <w:rPr>
          <w:rFonts w:ascii="Times New Roman" w:hAnsi="Times New Roman" w:eastAsia="微软雅黑"/>
          <w:b w:val="0"/>
          <w:color w:val="000000"/>
          <w:sz w:val="21"/>
        </w:rPr>
        <w:t>Meanwhile, this past week marked the end of a long saga for GoPro, the maker of cameras for outdoor enthusiasts founded in 2002. GoPro went public in 2014 with a market value of $3 billion, just in time for the smartphone camera to begin eating into its sales. For months, GoPro shares have traded below $1. On Tuesday, the company said it was being acquired by Starman Optical in a $285 million deal that would expand the business into the “AI data center, government, defense, and aerospace markets.”</w:t>
      </w:r>
    </w:p>
    <w:p w14:paraId="2CF1E3BC">
      <w:pPr>
        <w:spacing w:after="120" w:line="278" w:lineRule="auto"/>
      </w:pPr>
      <w:r>
        <w:rPr>
          <w:rFonts w:ascii="Times New Roman" w:hAnsi="Times New Roman" w:eastAsia="微软雅黑"/>
          <w:b/>
          <w:color w:val="000000"/>
          <w:sz w:val="21"/>
        </w:rPr>
        <w:t xml:space="preserve">(45) </w:t>
      </w:r>
      <w:r>
        <w:rPr>
          <w:rFonts w:ascii="Times New Roman" w:hAnsi="Times New Roman" w:eastAsia="微软雅黑"/>
          <w:b w:val="0"/>
          <w:color w:val="000000"/>
          <w:sz w:val="21"/>
        </w:rPr>
        <w:t>The challenge for Nothing will be merging its plain hardware aesthetic—the inspiration for its brand name—with the complications and baggage of AI. According to an August study from the Pew Research Center, 55% of adults under age 30 now say they’re more concerned than excited about AI.</w:t>
      </w:r>
    </w:p>
    <w:p w14:paraId="3B25AA41">
      <w:pPr>
        <w:spacing w:after="120" w:line="278" w:lineRule="auto"/>
      </w:pPr>
      <w:r>
        <w:rPr>
          <w:rFonts w:ascii="Times New Roman" w:hAnsi="Times New Roman" w:eastAsia="微软雅黑"/>
          <w:b w:val="0"/>
          <w:color w:val="000000"/>
          <w:sz w:val="21"/>
        </w:rPr>
        <w:t>Nothing is betting that audience just needs a different device. “For AI to reach its full potential, consumer hardware must reinvent itself,” the company says on its website.</w:t>
      </w:r>
    </w:p>
    <w:p w14:paraId="349DBAE3">
      <w:r>
        <w:br w:type="page"/>
      </w:r>
    </w:p>
    <w:p w14:paraId="01A8B613">
      <w:pPr>
        <w:keepNext/>
        <w:spacing w:before="280" w:after="120"/>
      </w:pPr>
      <w:r>
        <w:rPr>
          <w:rFonts w:ascii="Times New Roman" w:hAnsi="Times New Roman" w:eastAsia="微软雅黑"/>
          <w:b/>
          <w:color w:val="000000"/>
          <w:sz w:val="28"/>
        </w:rPr>
        <w:t>答案与解析</w:t>
      </w:r>
    </w:p>
    <w:p w14:paraId="6C45913A">
      <w:pPr>
        <w:keepNext/>
        <w:spacing w:before="200" w:after="120"/>
      </w:pPr>
      <w:r>
        <w:rPr>
          <w:rFonts w:ascii="Times New Roman" w:hAnsi="Times New Roman" w:eastAsia="微软雅黑"/>
          <w:b/>
          <w:color w:val="000000"/>
          <w:sz w:val="24"/>
        </w:rPr>
        <w:t>答案速查</w:t>
      </w:r>
    </w:p>
    <w:p w14:paraId="7F7B718D">
      <w:pPr>
        <w:spacing w:after="200" w:line="276" w:lineRule="auto"/>
      </w:pPr>
      <w:r>
        <w:rPr>
          <w:rFonts w:ascii="Times New Roman" w:hAnsi="Times New Roman" w:eastAsia="微软雅黑"/>
          <w:b/>
          <w:color w:val="000000"/>
          <w:sz w:val="21"/>
        </w:rPr>
        <w:t>41. A    42. D    43. B    44. C    45. E</w:t>
      </w:r>
    </w:p>
    <w:p w14:paraId="626DEFA7">
      <w:pPr>
        <w:keepNext/>
        <w:spacing w:before="200" w:after="120"/>
      </w:pPr>
      <w:r>
        <w:rPr>
          <w:rFonts w:ascii="Times New Roman" w:hAnsi="Times New Roman" w:eastAsia="微软雅黑"/>
          <w:b/>
          <w:color w:val="000000"/>
          <w:sz w:val="24"/>
        </w:rPr>
        <w:t>文章与命题分析</w:t>
      </w:r>
    </w:p>
    <w:p w14:paraId="6445D390">
      <w:pPr>
        <w:spacing w:after="80" w:line="276" w:lineRule="auto"/>
      </w:pPr>
      <w:r>
        <w:rPr>
          <w:rFonts w:ascii="Times New Roman" w:hAnsi="Times New Roman" w:eastAsia="微软雅黑"/>
          <w:b w:val="0"/>
          <w:color w:val="000000"/>
          <w:sz w:val="21"/>
        </w:rPr>
        <w:t>文章主旨：在AI吸引大量风险资本、消费科技投资下滑的背景下，Nothing以手机等硬件产品切入成熟市场；它的独特设计和销量令人关注，但能否把简约硬件审美与用户对AI的谨慎态度结合，仍是关键挑战。</w:t>
      </w:r>
    </w:p>
    <w:p w14:paraId="0E3FE4CB">
      <w:pPr>
        <w:spacing w:after="80" w:line="276" w:lineRule="auto"/>
      </w:pPr>
      <w:r>
        <w:rPr>
          <w:rFonts w:ascii="Times New Roman" w:hAnsi="Times New Roman" w:eastAsia="微软雅黑"/>
          <w:b w:val="0"/>
          <w:color w:val="000000"/>
          <w:sz w:val="21"/>
        </w:rPr>
        <w:t>结构脉络：AI资本挤压消费科技 → 智能手机融合导致行业困难 → Nothing逆势成为挑战者 → 独特设计不能消除商业风险 → Nothing需要弥合硬件审美与用户对AI的疑虑。</w:t>
      </w:r>
    </w:p>
    <w:p w14:paraId="5D3A4A99">
      <w:pPr>
        <w:spacing w:after="80" w:line="276" w:lineRule="auto"/>
      </w:pPr>
      <w:r>
        <w:rPr>
          <w:rFonts w:ascii="Times New Roman" w:hAnsi="Times New Roman" w:eastAsia="微软雅黑"/>
          <w:b w:val="0"/>
          <w:color w:val="000000"/>
          <w:sz w:val="21"/>
        </w:rPr>
        <w:t>题型适配：五个编号部分各有可概括的中心：投资转移、智能手机融合、挑战者出现、设计不等于安全、AI态度挑战。适合小标题匹配。</w:t>
      </w:r>
    </w:p>
    <w:p w14:paraId="37D03D10">
      <w:pPr>
        <w:spacing w:after="200" w:line="276" w:lineRule="auto"/>
      </w:pPr>
      <w:r>
        <w:rPr>
          <w:rFonts w:ascii="Times New Roman" w:hAnsi="Times New Roman" w:eastAsia="微软雅黑"/>
          <w:b w:val="0"/>
          <w:color w:val="000000"/>
          <w:sz w:val="21"/>
        </w:rPr>
        <w:t>解题入口：先抓每部分首尾句的功能，再看标题中的核心名词和逻辑方向。第44部分最长，要避免被“rear screen”这一细节带偏。</w:t>
      </w:r>
    </w:p>
    <w:p w14:paraId="413FFD3A">
      <w:pPr>
        <w:keepNext/>
        <w:spacing w:before="200" w:after="120"/>
      </w:pPr>
      <w:r>
        <w:rPr>
          <w:rFonts w:ascii="Times New Roman" w:hAnsi="Times New Roman" w:eastAsia="微软雅黑"/>
          <w:b/>
          <w:color w:val="000000"/>
          <w:sz w:val="24"/>
        </w:rPr>
        <w:t>选项总览</w:t>
      </w:r>
    </w:p>
    <w:p w14:paraId="164C6B4D">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概括AI资金挤压消费科技交易，对应第41部分。</w:t>
      </w:r>
    </w:p>
    <w:p w14:paraId="22976236">
      <w:pPr>
        <w:spacing w:after="80"/>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概括拥挤市场中仍出现挑战者，对应第43部分。</w:t>
      </w:r>
    </w:p>
    <w:p w14:paraId="3A82E3BE">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概括独特设计不能消除商业风险，对应第44部分。</w:t>
      </w:r>
    </w:p>
    <w:p w14:paraId="5A1AF76F">
      <w:pPr>
        <w:spacing w:after="80"/>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概括智能手机融合挤压缩小单一功能设备空间，对应第42部分。</w:t>
      </w:r>
    </w:p>
    <w:p w14:paraId="120868A3">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概括Nothing需要在简约硬件与用户AI疑虑之间架桥，对应第45部分。</w:t>
      </w:r>
    </w:p>
    <w:p w14:paraId="71AAB55D">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只概括第44部分中的后置屏幕细节，不能覆盖Fitbit和GoPro等商业风险。</w:t>
      </w:r>
    </w:p>
    <w:p w14:paraId="7CAB1AD6">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把资金流向反向改写：原文是AI挤压消费科技，而不是消费科技比AI更有吸引力。</w:t>
      </w:r>
    </w:p>
    <w:p w14:paraId="3F34579A">
      <w:pPr>
        <w:spacing w:after="120" w:line="276" w:lineRule="auto"/>
      </w:pPr>
    </w:p>
    <w:p w14:paraId="7074BDFD">
      <w:pPr>
        <w:keepNext/>
        <w:spacing w:before="200" w:after="120"/>
      </w:pPr>
      <w:r>
        <w:rPr>
          <w:rFonts w:ascii="Times New Roman" w:hAnsi="Times New Roman" w:eastAsia="微软雅黑"/>
          <w:b/>
          <w:color w:val="000000"/>
          <w:sz w:val="23"/>
        </w:rPr>
        <w:t>41.【答案】A</w:t>
      </w:r>
    </w:p>
    <w:p w14:paraId="2630137B">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第41部分，首句与交易量数据。</w:t>
      </w:r>
    </w:p>
    <w:p w14:paraId="311F4DCB">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首句“those AI dollars have crowded out…consumer tech”直接点明资金挤压；随后消费科技VC交易量从2021年近3,000笔减半并在2026年继续下滑。标题【A】用“crowds out”复现并概括这一因果，且覆盖投资规模变化。</w:t>
      </w:r>
    </w:p>
    <w:p w14:paraId="3AA5C8E7">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39140C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62B8709C">
            <w:pPr>
              <w:spacing w:after="40"/>
            </w:pPr>
            <w:r>
              <w:rPr>
                <w:rFonts w:ascii="Times New Roman" w:hAnsi="Times New Roman" w:eastAsia="微软雅黑"/>
                <w:b/>
                <w:color w:val="FFFFFF"/>
                <w:sz w:val="20"/>
              </w:rPr>
              <w:t>选项</w:t>
            </w:r>
          </w:p>
        </w:tc>
        <w:tc>
          <w:tcPr>
            <w:tcW w:w="1224" w:type="dxa"/>
            <w:shd w:val="clear" w:color="auto" w:fill="1F4E79"/>
          </w:tcPr>
          <w:p w14:paraId="045F12B0">
            <w:pPr>
              <w:spacing w:after="40"/>
            </w:pPr>
            <w:r>
              <w:rPr>
                <w:rFonts w:ascii="Times New Roman" w:hAnsi="Times New Roman" w:eastAsia="微软雅黑"/>
                <w:b/>
                <w:color w:val="FFFFFF"/>
                <w:sz w:val="20"/>
              </w:rPr>
              <w:t>判断</w:t>
            </w:r>
          </w:p>
        </w:tc>
        <w:tc>
          <w:tcPr>
            <w:tcW w:w="7344" w:type="dxa"/>
            <w:shd w:val="clear" w:color="auto" w:fill="1F4E79"/>
          </w:tcPr>
          <w:p w14:paraId="208BC642">
            <w:pPr>
              <w:spacing w:after="40"/>
            </w:pPr>
            <w:r>
              <w:rPr>
                <w:rFonts w:ascii="Times New Roman" w:hAnsi="Times New Roman" w:eastAsia="微软雅黑"/>
                <w:b/>
                <w:color w:val="FFFFFF"/>
                <w:sz w:val="20"/>
              </w:rPr>
              <w:t>理由</w:t>
            </w:r>
          </w:p>
        </w:tc>
      </w:tr>
      <w:tr w14:paraId="764FE9F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17743F0D">
            <w:pPr>
              <w:spacing w:after="40" w:line="259" w:lineRule="auto"/>
            </w:pPr>
            <w:r>
              <w:rPr>
                <w:rFonts w:ascii="Times New Roman" w:hAnsi="Times New Roman" w:eastAsia="微软雅黑"/>
                <w:b w:val="0"/>
                <w:color w:val="000000"/>
                <w:sz w:val="19"/>
              </w:rPr>
              <w:t>A</w:t>
            </w:r>
          </w:p>
        </w:tc>
        <w:tc>
          <w:tcPr>
            <w:tcW w:w="1224" w:type="dxa"/>
          </w:tcPr>
          <w:p w14:paraId="14EE2DBE">
            <w:pPr>
              <w:spacing w:after="40" w:line="259" w:lineRule="auto"/>
            </w:pPr>
            <w:r>
              <w:rPr>
                <w:rFonts w:ascii="Times New Roman" w:hAnsi="Times New Roman" w:eastAsia="微软雅黑"/>
                <w:b w:val="0"/>
                <w:color w:val="000000"/>
                <w:sz w:val="19"/>
              </w:rPr>
              <w:t>正确</w:t>
            </w:r>
          </w:p>
        </w:tc>
        <w:tc>
          <w:tcPr>
            <w:tcW w:w="7344" w:type="dxa"/>
          </w:tcPr>
          <w:p w14:paraId="490E8BE5">
            <w:pPr>
              <w:spacing w:after="40" w:line="259" w:lineRule="auto"/>
            </w:pPr>
            <w:r>
              <w:rPr>
                <w:rFonts w:ascii="Times New Roman" w:hAnsi="Times New Roman" w:eastAsia="微软雅黑"/>
                <w:b w:val="0"/>
                <w:color w:val="000000"/>
                <w:sz w:val="19"/>
              </w:rPr>
              <w:t>“AI dollars have crowded out…consumer tech”与“crowds out”直接对应，交易量减半进一步证明投资重心转移。</w:t>
            </w:r>
          </w:p>
        </w:tc>
      </w:tr>
      <w:tr w14:paraId="33A8436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28447C29">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392CF784">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57A36DE">
            <w:pPr>
              <w:spacing w:after="40" w:line="259" w:lineRule="auto"/>
            </w:pPr>
            <w:r>
              <w:rPr>
                <w:rFonts w:ascii="Times New Roman" w:hAnsi="Times New Roman" w:eastAsia="微软雅黑"/>
                <w:b w:val="0"/>
                <w:color w:val="000000"/>
                <w:sz w:val="19"/>
              </w:rPr>
              <w:t>第41部分没有解释智能手机功能融合，智能手机出现在下一部分。</w:t>
            </w:r>
          </w:p>
        </w:tc>
      </w:tr>
      <w:tr w14:paraId="4889488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443A91E8">
            <w:pPr>
              <w:spacing w:after="40" w:line="259" w:lineRule="auto"/>
            </w:pPr>
            <w:r>
              <w:rPr>
                <w:rFonts w:ascii="Times New Roman" w:hAnsi="Times New Roman" w:eastAsia="微软雅黑"/>
                <w:b w:val="0"/>
                <w:color w:val="000000"/>
                <w:sz w:val="19"/>
              </w:rPr>
              <w:t>F</w:t>
            </w:r>
          </w:p>
        </w:tc>
        <w:tc>
          <w:tcPr>
            <w:tcW w:w="1224" w:type="dxa"/>
          </w:tcPr>
          <w:p w14:paraId="791BFCA0">
            <w:pPr>
              <w:spacing w:after="40" w:line="259" w:lineRule="auto"/>
            </w:pPr>
            <w:r>
              <w:rPr>
                <w:rFonts w:ascii="Times New Roman" w:hAnsi="Times New Roman" w:eastAsia="微软雅黑"/>
                <w:b w:val="0"/>
                <w:color w:val="000000"/>
                <w:sz w:val="19"/>
              </w:rPr>
              <w:t>不能选</w:t>
            </w:r>
          </w:p>
        </w:tc>
        <w:tc>
          <w:tcPr>
            <w:tcW w:w="7344" w:type="dxa"/>
          </w:tcPr>
          <w:p w14:paraId="3A5F3464">
            <w:pPr>
              <w:spacing w:after="40" w:line="259" w:lineRule="auto"/>
            </w:pPr>
            <w:r>
              <w:rPr>
                <w:rFonts w:ascii="Times New Roman" w:hAnsi="Times New Roman" w:eastAsia="微软雅黑"/>
                <w:b w:val="0"/>
                <w:color w:val="000000"/>
                <w:sz w:val="19"/>
              </w:rPr>
              <w:t>后置屏幕是后文产品细节，与投资交易下滑无关。</w:t>
            </w:r>
          </w:p>
        </w:tc>
      </w:tr>
      <w:tr w14:paraId="701A14C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07277A1F">
            <w:pPr>
              <w:spacing w:after="40" w:line="259" w:lineRule="auto"/>
            </w:pPr>
            <w:r>
              <w:rPr>
                <w:rFonts w:ascii="Times New Roman" w:hAnsi="Times New Roman" w:eastAsia="微软雅黑"/>
                <w:b w:val="0"/>
                <w:color w:val="000000"/>
                <w:sz w:val="19"/>
              </w:rPr>
              <w:t>G</w:t>
            </w:r>
          </w:p>
        </w:tc>
        <w:tc>
          <w:tcPr>
            <w:tcW w:w="1224" w:type="dxa"/>
            <w:shd w:val="clear" w:color="auto" w:fill="EAF2F8"/>
          </w:tcPr>
          <w:p w14:paraId="056B7AD5">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3137665">
            <w:pPr>
              <w:spacing w:after="40" w:line="259" w:lineRule="auto"/>
            </w:pPr>
            <w:r>
              <w:rPr>
                <w:rFonts w:ascii="Times New Roman" w:hAnsi="Times New Roman" w:eastAsia="微软雅黑"/>
                <w:b w:val="0"/>
                <w:color w:val="000000"/>
                <w:sz w:val="19"/>
              </w:rPr>
              <w:t>方向相反；原文说AI资金挤出消费科技投资。</w:t>
            </w:r>
          </w:p>
        </w:tc>
      </w:tr>
    </w:tbl>
    <w:p w14:paraId="318BB926">
      <w:pPr>
        <w:spacing w:after="160" w:line="276" w:lineRule="auto"/>
      </w:pPr>
    </w:p>
    <w:p w14:paraId="4F9FEF2C">
      <w:pPr>
        <w:keepNext/>
        <w:spacing w:before="200" w:after="120"/>
      </w:pPr>
      <w:r>
        <w:rPr>
          <w:rFonts w:ascii="Times New Roman" w:hAnsi="Times New Roman" w:eastAsia="微软雅黑"/>
          <w:b/>
          <w:color w:val="000000"/>
          <w:sz w:val="23"/>
        </w:rPr>
        <w:t>42.【答案】D</w:t>
      </w:r>
    </w:p>
    <w:p w14:paraId="65776830">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第42部分，首句“Blame the decline…”及 Jeff Barrington 的分析。</w:t>
      </w:r>
    </w:p>
    <w:p w14:paraId="114AD2DE">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本部分开头“Blame the decline on the do-everything smartphone”给出行业困难的核心原因，后文用相机、GPS、助手、计算器等例证“do-everything”，并补充利润低、供应链复杂、巨头吸收产品等压力。【D】的“convergence”和“squeezes”正好概括这一逻辑。</w:t>
      </w:r>
    </w:p>
    <w:p w14:paraId="79CAFEF7">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695D911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4B173C2A">
            <w:pPr>
              <w:spacing w:after="40"/>
            </w:pPr>
            <w:r>
              <w:rPr>
                <w:rFonts w:ascii="Times New Roman" w:hAnsi="Times New Roman" w:eastAsia="微软雅黑"/>
                <w:b/>
                <w:color w:val="FFFFFF"/>
                <w:sz w:val="20"/>
              </w:rPr>
              <w:t>选项</w:t>
            </w:r>
          </w:p>
        </w:tc>
        <w:tc>
          <w:tcPr>
            <w:tcW w:w="1224" w:type="dxa"/>
            <w:shd w:val="clear" w:color="auto" w:fill="1F4E79"/>
          </w:tcPr>
          <w:p w14:paraId="5201B583">
            <w:pPr>
              <w:spacing w:after="40"/>
            </w:pPr>
            <w:r>
              <w:rPr>
                <w:rFonts w:ascii="Times New Roman" w:hAnsi="Times New Roman" w:eastAsia="微软雅黑"/>
                <w:b/>
                <w:color w:val="FFFFFF"/>
                <w:sz w:val="20"/>
              </w:rPr>
              <w:t>判断</w:t>
            </w:r>
          </w:p>
        </w:tc>
        <w:tc>
          <w:tcPr>
            <w:tcW w:w="7344" w:type="dxa"/>
            <w:shd w:val="clear" w:color="auto" w:fill="1F4E79"/>
          </w:tcPr>
          <w:p w14:paraId="3B5CB4CD">
            <w:pPr>
              <w:spacing w:after="40"/>
            </w:pPr>
            <w:r>
              <w:rPr>
                <w:rFonts w:ascii="Times New Roman" w:hAnsi="Times New Roman" w:eastAsia="微软雅黑"/>
                <w:b/>
                <w:color w:val="FFFFFF"/>
                <w:sz w:val="20"/>
              </w:rPr>
              <w:t>理由</w:t>
            </w:r>
          </w:p>
        </w:tc>
      </w:tr>
      <w:tr w14:paraId="2AA608D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5D58FD38">
            <w:pPr>
              <w:spacing w:after="40" w:line="259" w:lineRule="auto"/>
            </w:pPr>
            <w:r>
              <w:rPr>
                <w:rFonts w:ascii="Times New Roman" w:hAnsi="Times New Roman" w:eastAsia="微软雅黑"/>
                <w:b w:val="0"/>
                <w:color w:val="000000"/>
                <w:sz w:val="19"/>
              </w:rPr>
              <w:t>A</w:t>
            </w:r>
          </w:p>
        </w:tc>
        <w:tc>
          <w:tcPr>
            <w:tcW w:w="1224" w:type="dxa"/>
          </w:tcPr>
          <w:p w14:paraId="2D6FD0B6">
            <w:pPr>
              <w:spacing w:after="40" w:line="259" w:lineRule="auto"/>
            </w:pPr>
            <w:r>
              <w:rPr>
                <w:rFonts w:ascii="Times New Roman" w:hAnsi="Times New Roman" w:eastAsia="微软雅黑"/>
                <w:b w:val="0"/>
                <w:color w:val="000000"/>
                <w:sz w:val="19"/>
              </w:rPr>
              <w:t>不能选</w:t>
            </w:r>
          </w:p>
        </w:tc>
        <w:tc>
          <w:tcPr>
            <w:tcW w:w="7344" w:type="dxa"/>
          </w:tcPr>
          <w:p w14:paraId="09449643">
            <w:pPr>
              <w:spacing w:after="40" w:line="259" w:lineRule="auto"/>
            </w:pPr>
            <w:r>
              <w:rPr>
                <w:rFonts w:ascii="Times New Roman" w:hAnsi="Times New Roman" w:eastAsia="微软雅黑"/>
                <w:b w:val="0"/>
                <w:color w:val="000000"/>
                <w:sz w:val="19"/>
              </w:rPr>
              <w:t>AI资金流向已经用于第41部分，本部分转向智能手机造成的产品结构问题。</w:t>
            </w:r>
          </w:p>
        </w:tc>
      </w:tr>
      <w:tr w14:paraId="7E1BE15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468BA197">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6408C846">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C18B3B1">
            <w:pPr>
              <w:spacing w:after="40" w:line="259" w:lineRule="auto"/>
            </w:pPr>
            <w:r>
              <w:rPr>
                <w:rFonts w:ascii="Times New Roman" w:hAnsi="Times New Roman" w:eastAsia="微软雅黑"/>
                <w:b w:val="0"/>
                <w:color w:val="000000"/>
                <w:sz w:val="19"/>
              </w:rPr>
              <w:t>Nothing作为挑战者尚未出场，本段先解释行业困难。</w:t>
            </w:r>
          </w:p>
        </w:tc>
      </w:tr>
      <w:tr w14:paraId="21B4354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A6AB4AC">
            <w:pPr>
              <w:spacing w:after="40" w:line="259" w:lineRule="auto"/>
            </w:pPr>
            <w:r>
              <w:rPr>
                <w:rFonts w:ascii="Times New Roman" w:hAnsi="Times New Roman" w:eastAsia="微软雅黑"/>
                <w:b w:val="0"/>
                <w:color w:val="000000"/>
                <w:sz w:val="19"/>
              </w:rPr>
              <w:t>D</w:t>
            </w:r>
          </w:p>
        </w:tc>
        <w:tc>
          <w:tcPr>
            <w:tcW w:w="1224" w:type="dxa"/>
          </w:tcPr>
          <w:p w14:paraId="182D60AA">
            <w:pPr>
              <w:spacing w:after="40" w:line="259" w:lineRule="auto"/>
            </w:pPr>
            <w:r>
              <w:rPr>
                <w:rFonts w:ascii="Times New Roman" w:hAnsi="Times New Roman" w:eastAsia="微软雅黑"/>
                <w:b w:val="0"/>
                <w:color w:val="000000"/>
                <w:sz w:val="19"/>
              </w:rPr>
              <w:t>正确</w:t>
            </w:r>
          </w:p>
        </w:tc>
        <w:tc>
          <w:tcPr>
            <w:tcW w:w="7344" w:type="dxa"/>
          </w:tcPr>
          <w:p w14:paraId="700F67B2">
            <w:pPr>
              <w:spacing w:after="40" w:line="259" w:lineRule="auto"/>
            </w:pPr>
            <w:r>
              <w:rPr>
                <w:rFonts w:ascii="Times New Roman" w:hAnsi="Times New Roman" w:eastAsia="微软雅黑"/>
                <w:b w:val="0"/>
                <w:color w:val="000000"/>
                <w:sz w:val="19"/>
              </w:rPr>
              <w:t>智能手机承担相机、GPS、助手、计算器等功能，挤压消费科技产品空间，同时提高创业难度。</w:t>
            </w:r>
          </w:p>
        </w:tc>
      </w:tr>
      <w:tr w14:paraId="022FEDB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254AAC49">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0C6A7EF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F046519">
            <w:pPr>
              <w:spacing w:after="40" w:line="259" w:lineRule="auto"/>
            </w:pPr>
            <w:r>
              <w:rPr>
                <w:rFonts w:ascii="Times New Roman" w:hAnsi="Times New Roman" w:eastAsia="微软雅黑"/>
                <w:b w:val="0"/>
                <w:color w:val="000000"/>
                <w:sz w:val="19"/>
              </w:rPr>
              <w:t>后置屏幕尚未出现，且只是Nothing的单一功能。</w:t>
            </w:r>
          </w:p>
        </w:tc>
      </w:tr>
      <w:tr w14:paraId="682F04C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1A129ED">
            <w:pPr>
              <w:spacing w:after="40" w:line="259" w:lineRule="auto"/>
            </w:pPr>
            <w:r>
              <w:rPr>
                <w:rFonts w:ascii="Times New Roman" w:hAnsi="Times New Roman" w:eastAsia="微软雅黑"/>
                <w:b w:val="0"/>
                <w:color w:val="000000"/>
                <w:sz w:val="19"/>
              </w:rPr>
              <w:t>G</w:t>
            </w:r>
          </w:p>
        </w:tc>
        <w:tc>
          <w:tcPr>
            <w:tcW w:w="1224" w:type="dxa"/>
          </w:tcPr>
          <w:p w14:paraId="411FF3D1">
            <w:pPr>
              <w:spacing w:after="40" w:line="259" w:lineRule="auto"/>
            </w:pPr>
            <w:r>
              <w:rPr>
                <w:rFonts w:ascii="Times New Roman" w:hAnsi="Times New Roman" w:eastAsia="微软雅黑"/>
                <w:b w:val="0"/>
                <w:color w:val="000000"/>
                <w:sz w:val="19"/>
              </w:rPr>
              <w:t>不能选</w:t>
            </w:r>
          </w:p>
        </w:tc>
        <w:tc>
          <w:tcPr>
            <w:tcW w:w="7344" w:type="dxa"/>
          </w:tcPr>
          <w:p w14:paraId="4D6CC074">
            <w:pPr>
              <w:spacing w:after="40" w:line="259" w:lineRule="auto"/>
            </w:pPr>
            <w:r>
              <w:rPr>
                <w:rFonts w:ascii="Times New Roman" w:hAnsi="Times New Roman" w:eastAsia="微软雅黑"/>
                <w:b w:val="0"/>
                <w:color w:val="000000"/>
                <w:sz w:val="19"/>
              </w:rPr>
              <w:t>与“AI挤出消费科技投资”的事实相反。</w:t>
            </w:r>
          </w:p>
        </w:tc>
      </w:tr>
    </w:tbl>
    <w:p w14:paraId="64678817">
      <w:pPr>
        <w:spacing w:after="160" w:line="276" w:lineRule="auto"/>
      </w:pPr>
    </w:p>
    <w:p w14:paraId="3D711113">
      <w:pPr>
        <w:keepNext/>
        <w:spacing w:before="200" w:after="120"/>
      </w:pPr>
      <w:r>
        <w:rPr>
          <w:rFonts w:ascii="Times New Roman" w:hAnsi="Times New Roman" w:eastAsia="微软雅黑"/>
          <w:b/>
          <w:color w:val="000000"/>
          <w:sz w:val="23"/>
        </w:rPr>
        <w:t>43.【答案】B</w:t>
      </w:r>
    </w:p>
    <w:p w14:paraId="34414D3A">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第43部分，Nothing的产品、销量、社交关注与CEO发言。</w:t>
      </w:r>
    </w:p>
    <w:p w14:paraId="2CDE1158">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【B】中的“crowded market”对应前一部分的巨头与行业困难，“challenger”对应Nothing以手机挑战 Apple、Samsung 等巨头。本部分还用销量、社交媒体热度和CEO对Apple的直接喊话证明其挑战姿态。</w:t>
      </w:r>
    </w:p>
    <w:p w14:paraId="527DBE9C">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17B60EE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56646AF3">
            <w:pPr>
              <w:spacing w:after="40"/>
            </w:pPr>
            <w:r>
              <w:rPr>
                <w:rFonts w:ascii="Times New Roman" w:hAnsi="Times New Roman" w:eastAsia="微软雅黑"/>
                <w:b/>
                <w:color w:val="FFFFFF"/>
                <w:sz w:val="20"/>
              </w:rPr>
              <w:t>选项</w:t>
            </w:r>
          </w:p>
        </w:tc>
        <w:tc>
          <w:tcPr>
            <w:tcW w:w="1224" w:type="dxa"/>
            <w:shd w:val="clear" w:color="auto" w:fill="1F4E79"/>
          </w:tcPr>
          <w:p w14:paraId="056561CC">
            <w:pPr>
              <w:spacing w:after="40"/>
            </w:pPr>
            <w:r>
              <w:rPr>
                <w:rFonts w:ascii="Times New Roman" w:hAnsi="Times New Roman" w:eastAsia="微软雅黑"/>
                <w:b/>
                <w:color w:val="FFFFFF"/>
                <w:sz w:val="20"/>
              </w:rPr>
              <w:t>判断</w:t>
            </w:r>
          </w:p>
        </w:tc>
        <w:tc>
          <w:tcPr>
            <w:tcW w:w="7344" w:type="dxa"/>
            <w:shd w:val="clear" w:color="auto" w:fill="1F4E79"/>
          </w:tcPr>
          <w:p w14:paraId="485420DF">
            <w:pPr>
              <w:spacing w:after="40"/>
            </w:pPr>
            <w:r>
              <w:rPr>
                <w:rFonts w:ascii="Times New Roman" w:hAnsi="Times New Roman" w:eastAsia="微软雅黑"/>
                <w:b/>
                <w:color w:val="FFFFFF"/>
                <w:sz w:val="20"/>
              </w:rPr>
              <w:t>理由</w:t>
            </w:r>
          </w:p>
        </w:tc>
      </w:tr>
      <w:tr w14:paraId="6EF7BB2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5512200E">
            <w:pPr>
              <w:spacing w:after="40" w:line="259" w:lineRule="auto"/>
            </w:pPr>
            <w:r>
              <w:rPr>
                <w:rFonts w:ascii="Times New Roman" w:hAnsi="Times New Roman" w:eastAsia="微软雅黑"/>
                <w:b w:val="0"/>
                <w:color w:val="000000"/>
                <w:sz w:val="19"/>
              </w:rPr>
              <w:t>B</w:t>
            </w:r>
          </w:p>
        </w:tc>
        <w:tc>
          <w:tcPr>
            <w:tcW w:w="1224" w:type="dxa"/>
          </w:tcPr>
          <w:p w14:paraId="6B3E64A2">
            <w:pPr>
              <w:spacing w:after="40" w:line="259" w:lineRule="auto"/>
            </w:pPr>
            <w:r>
              <w:rPr>
                <w:rFonts w:ascii="Times New Roman" w:hAnsi="Times New Roman" w:eastAsia="微软雅黑"/>
                <w:b w:val="0"/>
                <w:color w:val="000000"/>
                <w:sz w:val="19"/>
              </w:rPr>
              <w:t>正确</w:t>
            </w:r>
          </w:p>
        </w:tc>
        <w:tc>
          <w:tcPr>
            <w:tcW w:w="7344" w:type="dxa"/>
          </w:tcPr>
          <w:p w14:paraId="5487D4E1">
            <w:pPr>
              <w:spacing w:after="40" w:line="259" w:lineRule="auto"/>
            </w:pPr>
            <w:r>
              <w:rPr>
                <w:rFonts w:ascii="Times New Roman" w:hAnsi="Times New Roman" w:eastAsia="微软雅黑"/>
                <w:b w:val="0"/>
                <w:color w:val="000000"/>
                <w:sz w:val="19"/>
              </w:rPr>
              <w:t>Nothing进入被巨头主导的手机市场，以设计、低价和社交媒体关注度成为消费科技挑战者。</w:t>
            </w:r>
          </w:p>
        </w:tc>
      </w:tr>
      <w:tr w14:paraId="3C06E2F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40DB7838">
            <w:pPr>
              <w:spacing w:after="40" w:line="259" w:lineRule="auto"/>
            </w:pPr>
            <w:r>
              <w:rPr>
                <w:rFonts w:ascii="Times New Roman" w:hAnsi="Times New Roman" w:eastAsia="微软雅黑"/>
                <w:b w:val="0"/>
                <w:color w:val="000000"/>
                <w:sz w:val="19"/>
              </w:rPr>
              <w:t>C</w:t>
            </w:r>
          </w:p>
        </w:tc>
        <w:tc>
          <w:tcPr>
            <w:tcW w:w="1224" w:type="dxa"/>
            <w:shd w:val="clear" w:color="auto" w:fill="EAF2F8"/>
          </w:tcPr>
          <w:p w14:paraId="6A10A542">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8C93657">
            <w:pPr>
              <w:spacing w:after="40" w:line="259" w:lineRule="auto"/>
            </w:pPr>
            <w:r>
              <w:rPr>
                <w:rFonts w:ascii="Times New Roman" w:hAnsi="Times New Roman" w:eastAsia="微软雅黑"/>
                <w:b w:val="0"/>
                <w:color w:val="000000"/>
                <w:sz w:val="19"/>
              </w:rPr>
              <w:t>商业风险和退出案例在第44部分展开，此处强调Nothing的逆势表现。</w:t>
            </w:r>
          </w:p>
        </w:tc>
      </w:tr>
      <w:tr w14:paraId="18761AA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39314F35">
            <w:pPr>
              <w:spacing w:after="40" w:line="259" w:lineRule="auto"/>
            </w:pPr>
            <w:r>
              <w:rPr>
                <w:rFonts w:ascii="Times New Roman" w:hAnsi="Times New Roman" w:eastAsia="微软雅黑"/>
                <w:b w:val="0"/>
                <w:color w:val="000000"/>
                <w:sz w:val="19"/>
              </w:rPr>
              <w:t>D</w:t>
            </w:r>
          </w:p>
        </w:tc>
        <w:tc>
          <w:tcPr>
            <w:tcW w:w="1224" w:type="dxa"/>
          </w:tcPr>
          <w:p w14:paraId="24EC0C75">
            <w:pPr>
              <w:spacing w:after="40" w:line="259" w:lineRule="auto"/>
            </w:pPr>
            <w:r>
              <w:rPr>
                <w:rFonts w:ascii="Times New Roman" w:hAnsi="Times New Roman" w:eastAsia="微软雅黑"/>
                <w:b w:val="0"/>
                <w:color w:val="000000"/>
                <w:sz w:val="19"/>
              </w:rPr>
              <w:t>不能选</w:t>
            </w:r>
          </w:p>
        </w:tc>
        <w:tc>
          <w:tcPr>
            <w:tcW w:w="7344" w:type="dxa"/>
          </w:tcPr>
          <w:p w14:paraId="2C5D574E">
            <w:pPr>
              <w:spacing w:after="40" w:line="259" w:lineRule="auto"/>
            </w:pPr>
            <w:r>
              <w:rPr>
                <w:rFonts w:ascii="Times New Roman" w:hAnsi="Times New Roman" w:eastAsia="微软雅黑"/>
                <w:b w:val="0"/>
                <w:color w:val="000000"/>
                <w:sz w:val="19"/>
              </w:rPr>
              <w:t>智能手机融合是上一部分的背景，本部分已经进入公司案例。</w:t>
            </w:r>
          </w:p>
        </w:tc>
      </w:tr>
      <w:tr w14:paraId="42E907E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212B56C1">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53D98124">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6B7D385B">
            <w:pPr>
              <w:spacing w:after="40" w:line="259" w:lineRule="auto"/>
            </w:pPr>
            <w:r>
              <w:rPr>
                <w:rFonts w:ascii="Times New Roman" w:hAnsi="Times New Roman" w:eastAsia="微软雅黑"/>
                <w:b w:val="0"/>
                <w:color w:val="000000"/>
                <w:sz w:val="19"/>
              </w:rPr>
              <w:t>用户对AI的担忧在末部分才提出。</w:t>
            </w:r>
          </w:p>
        </w:tc>
      </w:tr>
      <w:tr w14:paraId="2B5E786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39C899D6">
            <w:pPr>
              <w:spacing w:after="40" w:line="259" w:lineRule="auto"/>
            </w:pPr>
            <w:r>
              <w:rPr>
                <w:rFonts w:ascii="Times New Roman" w:hAnsi="Times New Roman" w:eastAsia="微软雅黑"/>
                <w:b w:val="0"/>
                <w:color w:val="000000"/>
                <w:sz w:val="19"/>
              </w:rPr>
              <w:t>F</w:t>
            </w:r>
          </w:p>
        </w:tc>
        <w:tc>
          <w:tcPr>
            <w:tcW w:w="1224" w:type="dxa"/>
          </w:tcPr>
          <w:p w14:paraId="661F68CE">
            <w:pPr>
              <w:spacing w:after="40" w:line="259" w:lineRule="auto"/>
            </w:pPr>
            <w:r>
              <w:rPr>
                <w:rFonts w:ascii="Times New Roman" w:hAnsi="Times New Roman" w:eastAsia="微软雅黑"/>
                <w:b w:val="0"/>
                <w:color w:val="000000"/>
                <w:sz w:val="19"/>
              </w:rPr>
              <w:t>不能选</w:t>
            </w:r>
          </w:p>
        </w:tc>
        <w:tc>
          <w:tcPr>
            <w:tcW w:w="7344" w:type="dxa"/>
          </w:tcPr>
          <w:p w14:paraId="6846E348">
            <w:pPr>
              <w:spacing w:after="40" w:line="259" w:lineRule="auto"/>
            </w:pPr>
            <w:r>
              <w:rPr>
                <w:rFonts w:ascii="Times New Roman" w:hAnsi="Times New Roman" w:eastAsia="微软雅黑"/>
                <w:b w:val="0"/>
                <w:color w:val="000000"/>
                <w:sz w:val="19"/>
              </w:rPr>
              <w:t>后置屏幕属于下一部分的产品细节，不能概括这一部分的竞争者形象。</w:t>
            </w:r>
          </w:p>
        </w:tc>
      </w:tr>
    </w:tbl>
    <w:p w14:paraId="1A4A9A61">
      <w:pPr>
        <w:spacing w:after="160" w:line="276" w:lineRule="auto"/>
      </w:pPr>
    </w:p>
    <w:p w14:paraId="06783D76">
      <w:pPr>
        <w:keepNext/>
        <w:spacing w:before="200" w:after="120"/>
      </w:pPr>
      <w:r>
        <w:rPr>
          <w:rFonts w:ascii="Times New Roman" w:hAnsi="Times New Roman" w:eastAsia="微软雅黑"/>
          <w:b/>
          <w:color w:val="000000"/>
          <w:sz w:val="23"/>
        </w:rPr>
        <w:t>44.【答案】C</w:t>
      </w:r>
    </w:p>
    <w:p w14:paraId="6D4E044D">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第44部分，后置屏幕后的融资、Fitbit与GoPro例证。</w:t>
      </w:r>
    </w:p>
    <w:p w14:paraId="176B9478">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第44部分先写后置屏幕这一设计差异，但立刻转向融资后的高估值稀少、Fitbit市值腰斩、GoPro被低价收购。【C】保留“distinctive design”，同时用“does not remove business risks”概括从设计到风险的全部内容，避免只选细节。</w:t>
      </w:r>
    </w:p>
    <w:p w14:paraId="2815501F">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60F7FF5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1C3D096D">
            <w:pPr>
              <w:spacing w:after="40"/>
            </w:pPr>
            <w:r>
              <w:rPr>
                <w:rFonts w:ascii="Times New Roman" w:hAnsi="Times New Roman" w:eastAsia="微软雅黑"/>
                <w:b/>
                <w:color w:val="FFFFFF"/>
                <w:sz w:val="20"/>
              </w:rPr>
              <w:t>选项</w:t>
            </w:r>
          </w:p>
        </w:tc>
        <w:tc>
          <w:tcPr>
            <w:tcW w:w="1224" w:type="dxa"/>
            <w:shd w:val="clear" w:color="auto" w:fill="1F4E79"/>
          </w:tcPr>
          <w:p w14:paraId="7B09BD22">
            <w:pPr>
              <w:spacing w:after="40"/>
            </w:pPr>
            <w:r>
              <w:rPr>
                <w:rFonts w:ascii="Times New Roman" w:hAnsi="Times New Roman" w:eastAsia="微软雅黑"/>
                <w:b/>
                <w:color w:val="FFFFFF"/>
                <w:sz w:val="20"/>
              </w:rPr>
              <w:t>判断</w:t>
            </w:r>
          </w:p>
        </w:tc>
        <w:tc>
          <w:tcPr>
            <w:tcW w:w="7344" w:type="dxa"/>
            <w:shd w:val="clear" w:color="auto" w:fill="1F4E79"/>
          </w:tcPr>
          <w:p w14:paraId="198C6999">
            <w:pPr>
              <w:spacing w:after="40"/>
            </w:pPr>
            <w:r>
              <w:rPr>
                <w:rFonts w:ascii="Times New Roman" w:hAnsi="Times New Roman" w:eastAsia="微软雅黑"/>
                <w:b/>
                <w:color w:val="FFFFFF"/>
                <w:sz w:val="20"/>
              </w:rPr>
              <w:t>理由</w:t>
            </w:r>
          </w:p>
        </w:tc>
      </w:tr>
      <w:tr w14:paraId="7C03C94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7B466575">
            <w:pPr>
              <w:spacing w:after="40" w:line="259" w:lineRule="auto"/>
            </w:pPr>
            <w:r>
              <w:rPr>
                <w:rFonts w:ascii="Times New Roman" w:hAnsi="Times New Roman" w:eastAsia="微软雅黑"/>
                <w:b w:val="0"/>
                <w:color w:val="000000"/>
                <w:sz w:val="19"/>
              </w:rPr>
              <w:t>C</w:t>
            </w:r>
          </w:p>
        </w:tc>
        <w:tc>
          <w:tcPr>
            <w:tcW w:w="1224" w:type="dxa"/>
          </w:tcPr>
          <w:p w14:paraId="7F5DD899">
            <w:pPr>
              <w:spacing w:after="40" w:line="259" w:lineRule="auto"/>
            </w:pPr>
            <w:r>
              <w:rPr>
                <w:rFonts w:ascii="Times New Roman" w:hAnsi="Times New Roman" w:eastAsia="微软雅黑"/>
                <w:b w:val="0"/>
                <w:color w:val="000000"/>
                <w:sz w:val="19"/>
              </w:rPr>
              <w:t>正确</w:t>
            </w:r>
          </w:p>
        </w:tc>
        <w:tc>
          <w:tcPr>
            <w:tcW w:w="7344" w:type="dxa"/>
          </w:tcPr>
          <w:p w14:paraId="318C8E34">
            <w:pPr>
              <w:spacing w:after="40" w:line="259" w:lineRule="auto"/>
            </w:pPr>
            <w:r>
              <w:rPr>
                <w:rFonts w:ascii="Times New Roman" w:hAnsi="Times New Roman" w:eastAsia="微软雅黑"/>
                <w:b w:val="0"/>
                <w:color w:val="000000"/>
                <w:sz w:val="19"/>
              </w:rPr>
              <w:t>后置屏幕是独特设计，但随后的融资、Fitbit降价出售和GoPro被低价收购说明设计亮点不能消除商业风险。</w:t>
            </w:r>
          </w:p>
        </w:tc>
      </w:tr>
      <w:tr w14:paraId="7C8CB79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2028FA46">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7C9EF7CD">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A06843D">
            <w:pPr>
              <w:spacing w:after="40" w:line="259" w:lineRule="auto"/>
            </w:pPr>
            <w:r>
              <w:rPr>
                <w:rFonts w:ascii="Times New Roman" w:hAnsi="Times New Roman" w:eastAsia="微软雅黑"/>
                <w:b w:val="0"/>
                <w:color w:val="000000"/>
                <w:sz w:val="19"/>
              </w:rPr>
              <w:t>Nothing作为挑战者的出现已在第43部分完成。</w:t>
            </w:r>
          </w:p>
        </w:tc>
      </w:tr>
      <w:tr w14:paraId="175C97E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029C7ECD">
            <w:pPr>
              <w:spacing w:after="40" w:line="259" w:lineRule="auto"/>
            </w:pPr>
            <w:r>
              <w:rPr>
                <w:rFonts w:ascii="Times New Roman" w:hAnsi="Times New Roman" w:eastAsia="微软雅黑"/>
                <w:b w:val="0"/>
                <w:color w:val="000000"/>
                <w:sz w:val="19"/>
              </w:rPr>
              <w:t>D</w:t>
            </w:r>
          </w:p>
        </w:tc>
        <w:tc>
          <w:tcPr>
            <w:tcW w:w="1224" w:type="dxa"/>
          </w:tcPr>
          <w:p w14:paraId="3B7498D4">
            <w:pPr>
              <w:spacing w:after="40" w:line="259" w:lineRule="auto"/>
            </w:pPr>
            <w:r>
              <w:rPr>
                <w:rFonts w:ascii="Times New Roman" w:hAnsi="Times New Roman" w:eastAsia="微软雅黑"/>
                <w:b w:val="0"/>
                <w:color w:val="000000"/>
                <w:sz w:val="19"/>
              </w:rPr>
              <w:t>不能选</w:t>
            </w:r>
          </w:p>
        </w:tc>
        <w:tc>
          <w:tcPr>
            <w:tcW w:w="7344" w:type="dxa"/>
          </w:tcPr>
          <w:p w14:paraId="2B54A063">
            <w:pPr>
              <w:spacing w:after="40" w:line="259" w:lineRule="auto"/>
            </w:pPr>
            <w:r>
              <w:rPr>
                <w:rFonts w:ascii="Times New Roman" w:hAnsi="Times New Roman" w:eastAsia="微软雅黑"/>
                <w:b w:val="0"/>
                <w:color w:val="000000"/>
                <w:sz w:val="19"/>
              </w:rPr>
              <w:t>第42部分已经处理智能手机融合，此处重点转向商业风险。</w:t>
            </w:r>
          </w:p>
        </w:tc>
      </w:tr>
      <w:tr w14:paraId="51E87CF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727DAFAD">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632F507F">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4C597A8">
            <w:pPr>
              <w:spacing w:after="40" w:line="259" w:lineRule="auto"/>
            </w:pPr>
            <w:r>
              <w:rPr>
                <w:rFonts w:ascii="Times New Roman" w:hAnsi="Times New Roman" w:eastAsia="微软雅黑"/>
                <w:b w:val="0"/>
                <w:color w:val="000000"/>
                <w:sz w:val="19"/>
              </w:rPr>
              <w:t>只对应本部分第一段细节，无法覆盖 Fitbit 和 GoPro 的教训。</w:t>
            </w:r>
          </w:p>
        </w:tc>
      </w:tr>
    </w:tbl>
    <w:p w14:paraId="4F59E6B2">
      <w:pPr>
        <w:spacing w:after="160" w:line="276" w:lineRule="auto"/>
      </w:pPr>
    </w:p>
    <w:p w14:paraId="4E7E32A0">
      <w:pPr>
        <w:keepNext/>
        <w:spacing w:before="200" w:after="120"/>
      </w:pPr>
      <w:r>
        <w:rPr>
          <w:rFonts w:ascii="Times New Roman" w:hAnsi="Times New Roman" w:eastAsia="微软雅黑"/>
          <w:b/>
          <w:color w:val="000000"/>
          <w:sz w:val="23"/>
        </w:rPr>
        <w:t>45.【答案】E</w:t>
      </w:r>
    </w:p>
    <w:p w14:paraId="2119FE4B">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第45部分，Pew调查数据与Nothing网站主张。</w:t>
      </w:r>
    </w:p>
    <w:p w14:paraId="5C10FC29">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末部分明确说挑战在于把“plain hardware aesthetic”与AI的“complications and baggage”融合，并引用 Pew 数据说明年轻用户更担忧AI。【E】中“minimalist hardware”与“wary AI users”分别对应这两条线索。</w:t>
      </w:r>
    </w:p>
    <w:p w14:paraId="2D83AAED">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2298457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tblHeader/>
          <w:jc w:val="center"/>
        </w:trPr>
        <w:tc>
          <w:tcPr>
            <w:tcW w:w="936" w:type="dxa"/>
            <w:shd w:val="clear" w:color="auto" w:fill="1F4E79"/>
          </w:tcPr>
          <w:p w14:paraId="653A3F2A">
            <w:pPr>
              <w:spacing w:after="40"/>
            </w:pPr>
            <w:r>
              <w:rPr>
                <w:rFonts w:ascii="Times New Roman" w:hAnsi="Times New Roman" w:eastAsia="微软雅黑"/>
                <w:b/>
                <w:color w:val="FFFFFF"/>
                <w:sz w:val="20"/>
              </w:rPr>
              <w:t>选项</w:t>
            </w:r>
          </w:p>
        </w:tc>
        <w:tc>
          <w:tcPr>
            <w:tcW w:w="1224" w:type="dxa"/>
            <w:shd w:val="clear" w:color="auto" w:fill="1F4E79"/>
          </w:tcPr>
          <w:p w14:paraId="049D2AC3">
            <w:pPr>
              <w:spacing w:after="40"/>
            </w:pPr>
            <w:r>
              <w:rPr>
                <w:rFonts w:ascii="Times New Roman" w:hAnsi="Times New Roman" w:eastAsia="微软雅黑"/>
                <w:b/>
                <w:color w:val="FFFFFF"/>
                <w:sz w:val="20"/>
              </w:rPr>
              <w:t>判断</w:t>
            </w:r>
          </w:p>
        </w:tc>
        <w:tc>
          <w:tcPr>
            <w:tcW w:w="7344" w:type="dxa"/>
            <w:shd w:val="clear" w:color="auto" w:fill="1F4E79"/>
          </w:tcPr>
          <w:p w14:paraId="407FC122">
            <w:pPr>
              <w:spacing w:after="40"/>
            </w:pPr>
            <w:r>
              <w:rPr>
                <w:rFonts w:ascii="Times New Roman" w:hAnsi="Times New Roman" w:eastAsia="微软雅黑"/>
                <w:b/>
                <w:color w:val="FFFFFF"/>
                <w:sz w:val="20"/>
              </w:rPr>
              <w:t>理由</w:t>
            </w:r>
          </w:p>
        </w:tc>
      </w:tr>
      <w:tr w14:paraId="476562E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51B16637">
            <w:pPr>
              <w:spacing w:after="40" w:line="259" w:lineRule="auto"/>
            </w:pPr>
            <w:r>
              <w:rPr>
                <w:rFonts w:ascii="Times New Roman" w:hAnsi="Times New Roman" w:eastAsia="微软雅黑"/>
                <w:b w:val="0"/>
                <w:color w:val="000000"/>
                <w:sz w:val="19"/>
              </w:rPr>
              <w:t>E</w:t>
            </w:r>
          </w:p>
        </w:tc>
        <w:tc>
          <w:tcPr>
            <w:tcW w:w="1224" w:type="dxa"/>
          </w:tcPr>
          <w:p w14:paraId="29DD1B0D">
            <w:pPr>
              <w:spacing w:after="40" w:line="259" w:lineRule="auto"/>
            </w:pPr>
            <w:r>
              <w:rPr>
                <w:rFonts w:ascii="Times New Roman" w:hAnsi="Times New Roman" w:eastAsia="微软雅黑"/>
                <w:b w:val="0"/>
                <w:color w:val="000000"/>
                <w:sz w:val="19"/>
              </w:rPr>
              <w:t>正确</w:t>
            </w:r>
          </w:p>
        </w:tc>
        <w:tc>
          <w:tcPr>
            <w:tcW w:w="7344" w:type="dxa"/>
          </w:tcPr>
          <w:p w14:paraId="2B2B6CA9">
            <w:pPr>
              <w:spacing w:after="40" w:line="259" w:lineRule="auto"/>
            </w:pPr>
            <w:r>
              <w:rPr>
                <w:rFonts w:ascii="Times New Roman" w:hAnsi="Times New Roman" w:eastAsia="微软雅黑"/>
                <w:b w:val="0"/>
                <w:color w:val="000000"/>
                <w:sz w:val="19"/>
              </w:rPr>
              <w:t>本部分提出Nothing要融合简约硬件审美与AI复杂性，并以年轻人对AI更担忧的数据和公司的硬件重塑主张收束。</w:t>
            </w:r>
          </w:p>
        </w:tc>
      </w:tr>
      <w:tr w14:paraId="33C7B70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3583710B">
            <w:pPr>
              <w:spacing w:after="40" w:line="259" w:lineRule="auto"/>
            </w:pPr>
            <w:r>
              <w:rPr>
                <w:rFonts w:ascii="Times New Roman" w:hAnsi="Times New Roman" w:eastAsia="微软雅黑"/>
                <w:b w:val="0"/>
                <w:color w:val="000000"/>
                <w:sz w:val="19"/>
              </w:rPr>
              <w:t>C</w:t>
            </w:r>
          </w:p>
        </w:tc>
        <w:tc>
          <w:tcPr>
            <w:tcW w:w="1224" w:type="dxa"/>
            <w:shd w:val="clear" w:color="auto" w:fill="EAF2F8"/>
          </w:tcPr>
          <w:p w14:paraId="72A6570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0700681E">
            <w:pPr>
              <w:spacing w:after="40" w:line="259" w:lineRule="auto"/>
            </w:pPr>
            <w:r>
              <w:rPr>
                <w:rFonts w:ascii="Times New Roman" w:hAnsi="Times New Roman" w:eastAsia="微软雅黑"/>
                <w:b w:val="0"/>
                <w:color w:val="000000"/>
                <w:sz w:val="19"/>
              </w:rPr>
              <w:t>第44部分的风险已经由Fitbit和GoPro例证完成，本部分聚焦AI接受度。</w:t>
            </w:r>
          </w:p>
        </w:tc>
      </w:tr>
      <w:tr w14:paraId="3B9972D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tcPr>
          <w:p w14:paraId="6391755C">
            <w:pPr>
              <w:spacing w:after="40" w:line="259" w:lineRule="auto"/>
            </w:pPr>
            <w:r>
              <w:rPr>
                <w:rFonts w:ascii="Times New Roman" w:hAnsi="Times New Roman" w:eastAsia="微软雅黑"/>
                <w:b w:val="0"/>
                <w:color w:val="000000"/>
                <w:sz w:val="19"/>
              </w:rPr>
              <w:t>F</w:t>
            </w:r>
          </w:p>
        </w:tc>
        <w:tc>
          <w:tcPr>
            <w:tcW w:w="1224" w:type="dxa"/>
          </w:tcPr>
          <w:p w14:paraId="775A49CC">
            <w:pPr>
              <w:spacing w:after="40" w:line="259" w:lineRule="auto"/>
            </w:pPr>
            <w:r>
              <w:rPr>
                <w:rFonts w:ascii="Times New Roman" w:hAnsi="Times New Roman" w:eastAsia="微软雅黑"/>
                <w:b w:val="0"/>
                <w:color w:val="000000"/>
                <w:sz w:val="19"/>
              </w:rPr>
              <w:t>不能选</w:t>
            </w:r>
          </w:p>
        </w:tc>
        <w:tc>
          <w:tcPr>
            <w:tcW w:w="7344" w:type="dxa"/>
          </w:tcPr>
          <w:p w14:paraId="6CC71732">
            <w:pPr>
              <w:spacing w:after="40" w:line="259" w:lineRule="auto"/>
            </w:pPr>
            <w:r>
              <w:rPr>
                <w:rFonts w:ascii="Times New Roman" w:hAnsi="Times New Roman" w:eastAsia="微软雅黑"/>
                <w:b w:val="0"/>
                <w:color w:val="000000"/>
                <w:sz w:val="19"/>
              </w:rPr>
              <w:t>后置屏幕不再是中心，末部分讨论的是AI与硬件的关系。</w:t>
            </w:r>
          </w:p>
        </w:tc>
      </w:tr>
      <w:tr w14:paraId="5458EEF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jc w:val="center"/>
        </w:trPr>
        <w:tc>
          <w:tcPr>
            <w:tcW w:w="936" w:type="dxa"/>
            <w:shd w:val="clear" w:color="auto" w:fill="EAF2F8"/>
          </w:tcPr>
          <w:p w14:paraId="78452553">
            <w:pPr>
              <w:spacing w:after="40" w:line="259" w:lineRule="auto"/>
            </w:pPr>
            <w:r>
              <w:rPr>
                <w:rFonts w:ascii="Times New Roman" w:hAnsi="Times New Roman" w:eastAsia="微软雅黑"/>
                <w:b w:val="0"/>
                <w:color w:val="000000"/>
                <w:sz w:val="19"/>
              </w:rPr>
              <w:t>G</w:t>
            </w:r>
          </w:p>
        </w:tc>
        <w:tc>
          <w:tcPr>
            <w:tcW w:w="1224" w:type="dxa"/>
            <w:shd w:val="clear" w:color="auto" w:fill="EAF2F8"/>
          </w:tcPr>
          <w:p w14:paraId="44B4C253">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B611D62">
            <w:pPr>
              <w:spacing w:after="40" w:line="259" w:lineRule="auto"/>
            </w:pPr>
            <w:r>
              <w:rPr>
                <w:rFonts w:ascii="Times New Roman" w:hAnsi="Times New Roman" w:eastAsia="微软雅黑"/>
                <w:b w:val="0"/>
                <w:color w:val="000000"/>
                <w:sz w:val="19"/>
              </w:rPr>
              <w:t>标题既不符合投资流向，也不概括AI态度问题。</w:t>
            </w:r>
          </w:p>
        </w:tc>
      </w:tr>
    </w:tbl>
    <w:p w14:paraId="1DCC8AA3">
      <w:pPr>
        <w:spacing w:after="160" w:line="276" w:lineRule="auto"/>
      </w:pPr>
    </w:p>
    <w:p w14:paraId="4857E5B4">
      <w:pPr>
        <w:keepNext/>
        <w:spacing w:before="200" w:after="120"/>
      </w:pPr>
      <w:r>
        <w:rPr>
          <w:rFonts w:ascii="Times New Roman" w:hAnsi="Times New Roman" w:eastAsia="微软雅黑"/>
          <w:b/>
          <w:color w:val="000000"/>
          <w:sz w:val="24"/>
        </w:rPr>
        <w:t>干扰项设置</w:t>
      </w:r>
    </w:p>
    <w:p w14:paraId="037719B9">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【F】摘取“rear screen”这一局部细节，容易误配第44部分，但无法概括 Fitbit 和 GoPro 的商业风险；【G】借用 investment 与 consumer tech 关键词，却把“AI资金挤出消费科技资金”改成“消费科技比AI更有吸引力”。考生必须核对标题的逻辑方向和覆盖范围。</w:t>
      </w:r>
    </w:p>
    <w:p w14:paraId="6CA1C585">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7D083A37">
      <w:pPr>
        <w:spacing w:after="160" w:line="276" w:lineRule="auto"/>
        <w:rPr>
          <w:rFonts w:ascii="Times New Roman" w:hAnsi="Times New Roman" w:eastAsia="微软雅黑"/>
          <w:b w:val="0"/>
          <w:color w:val="000000"/>
          <w:sz w:val="21"/>
        </w:rPr>
      </w:pP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仓耳玄三M W05">
    <w:panose1 w:val="02020400000000000000"/>
    <w:charset w:val="80"/>
    <w:family w:val="auto"/>
    <w:pitch w:val="default"/>
    <w:sig w:usb0="800002BF" w:usb1="184D64F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CE0D70"/>
    <w:rsid w:val="3C0425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2616</Words>
  <Characters>6304</Characters>
  <Lines>0</Lines>
  <Paragraphs>0</Paragraphs>
  <TotalTime>0</TotalTime>
  <ScaleCrop>false</ScaleCrop>
  <LinksUpToDate>false</LinksUpToDate>
  <CharactersWithSpaces>7142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2026-09-12T11:06:16Z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4DDDCDA19F90485D90BF726A3793EAEF_12</vt:lpwstr>
  </property>
</Properties>
</file>