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748611">
      <w:pPr>
        <w:keepNext/>
        <w:spacing w:before="200" w:after="120"/>
      </w:pPr>
      <w:r>
        <w:rPr>
          <w:rFonts w:ascii="Times New Roman" w:hAnsi="Times New Roman" w:eastAsia="微软雅黑"/>
          <w:b/>
          <w:color w:val="000000"/>
          <w:sz w:val="26"/>
        </w:rPr>
        <w:t>Part B</w:t>
      </w:r>
    </w:p>
    <w:p w14:paraId="6C809802">
      <w:pPr>
        <w:spacing w:after="60" w:line="276" w:lineRule="auto"/>
      </w:pPr>
      <w:r>
        <w:rPr>
          <w:rFonts w:ascii="Times New Roman" w:hAnsi="Times New Roman" w:eastAsia="微软雅黑"/>
          <w:b/>
          <w:color w:val="000000"/>
          <w:sz w:val="21"/>
        </w:rPr>
        <w:t>Directions:</w:t>
      </w:r>
    </w:p>
    <w:p w14:paraId="2D0DDFA6">
      <w:pPr>
        <w:spacing w:after="240" w:line="276" w:lineRule="auto"/>
      </w:pPr>
      <w:r>
        <w:rPr>
          <w:rFonts w:ascii="Times New Roman" w:hAnsi="Times New Roman" w:eastAsia="微软雅黑"/>
          <w:b w:val="0"/>
          <w:color w:val="000000"/>
          <w:sz w:val="21"/>
        </w:rPr>
        <w:t>In the following text, some sentences have been removed. For Questions 41-45, choose the most suitable one from the list A-G to fit into each of the numbered blanks. There are two extra choices, which do not fit in any of the blanks. Mark your answers on the ANSWER SHEET. (10 points)</w:t>
      </w:r>
    </w:p>
    <w:p w14:paraId="41C10473">
      <w:pPr>
        <w:spacing w:after="200" w:line="283" w:lineRule="auto"/>
      </w:pPr>
      <w:r>
        <w:rPr>
          <w:rFonts w:ascii="Times New Roman" w:hAnsi="Times New Roman" w:eastAsia="微软雅黑"/>
          <w:b w:val="0"/>
          <w:color w:val="000000"/>
          <w:sz w:val="21"/>
        </w:rPr>
        <w:t xml:space="preserve">Schools in rich countries are failing. The latest scores on PISA tests of reading, maths and science, released on September 8th, show a decline that has continued since the tests, administered by the OECD, began in 2000. Educators can no longer blame it all on covid-19 lockdowns, which badly messed up lessons and caused PISA grades to drop. The pandemic is now over, but scores have continued to fall roughly as fast. In 35 rich countries that take part in the tests, a typical 15-year-old now reads no better than a 14-year-old did a decade ago. </w:t>
      </w:r>
      <w:r>
        <w:rPr>
          <w:rFonts w:ascii="Times New Roman" w:hAnsi="Times New Roman" w:eastAsia="微软雅黑"/>
          <w:b/>
          <w:color w:val="000000"/>
          <w:sz w:val="21"/>
        </w:rPr>
        <w:t>(41)</w:t>
      </w:r>
    </w:p>
    <w:p w14:paraId="6DB0BA22">
      <w:pPr>
        <w:spacing w:after="200" w:line="283" w:lineRule="auto"/>
      </w:pPr>
      <w:r>
        <w:rPr>
          <w:rFonts w:ascii="Times New Roman" w:hAnsi="Times New Roman" w:eastAsia="微软雅黑"/>
          <w:b w:val="0"/>
          <w:color w:val="000000"/>
          <w:sz w:val="21"/>
        </w:rPr>
        <w:t>Test scores are not the full measure of a child. But they are a good predictor of desirable outcomes and a bulwark against many of the worst ones. Kids who do well on tests tend to earn more, live longer and healthier lives, and commit fewer crimes. By one estimate, pushing up PISA scores by a mere quarter of a standard deviation might increase annual growth in rich countries by half a percentage point.</w:t>
      </w:r>
    </w:p>
    <w:p w14:paraId="2172C9F6">
      <w:pPr>
        <w:spacing w:after="200" w:line="283" w:lineRule="auto"/>
      </w:pPr>
      <w:r>
        <w:rPr>
          <w:rFonts w:ascii="Times New Roman" w:hAnsi="Times New Roman" w:eastAsia="微软雅黑"/>
          <w:b/>
          <w:color w:val="000000"/>
          <w:sz w:val="21"/>
        </w:rPr>
        <w:t>(42)</w:t>
      </w:r>
      <w:r>
        <w:rPr>
          <w:rFonts w:ascii="Times New Roman" w:hAnsi="Times New Roman" w:eastAsia="微软雅黑"/>
          <w:b w:val="0"/>
          <w:color w:val="000000"/>
          <w:sz w:val="21"/>
        </w:rPr>
        <w:t xml:space="preserve"> The adults of the future will be able to outsource their thinking to clever machines, just as they use machines to perform innumerable physical tasks. So why sweat about swotting?</w:t>
      </w:r>
    </w:p>
    <w:p w14:paraId="368658A5">
      <w:pPr>
        <w:spacing w:after="200" w:line="283" w:lineRule="auto"/>
      </w:pPr>
      <w:r>
        <w:rPr>
          <w:rFonts w:ascii="Times New Roman" w:hAnsi="Times New Roman" w:eastAsia="微软雅黑"/>
          <w:b/>
          <w:color w:val="000000"/>
          <w:sz w:val="21"/>
        </w:rPr>
        <w:t>(43)</w:t>
      </w:r>
      <w:r>
        <w:rPr>
          <w:rFonts w:ascii="Times New Roman" w:hAnsi="Times New Roman" w:eastAsia="微软雅黑"/>
          <w:b w:val="0"/>
          <w:color w:val="000000"/>
          <w:sz w:val="21"/>
        </w:rPr>
        <w:t xml:space="preserve"> AI will not make it pointless to train human brains, any more than the invention of cars eliminated the need for physical exercise. On the contrary, adapting to a world of rapid, AI-driven change will require more mental agility, not less. And precisely because AI will increase the temptation for people to outsource difficult cognitive tasks, schools have an extra duty to help pupils exercise their brains and acquire the hard habits of thinking.</w:t>
      </w:r>
    </w:p>
    <w:p w14:paraId="22E569DF">
      <w:pPr>
        <w:spacing w:after="200" w:line="283" w:lineRule="auto"/>
      </w:pPr>
      <w:r>
        <w:rPr>
          <w:rFonts w:ascii="Times New Roman" w:hAnsi="Times New Roman" w:eastAsia="微软雅黑"/>
          <w:b w:val="0"/>
          <w:color w:val="000000"/>
          <w:sz w:val="21"/>
        </w:rPr>
        <w:t xml:space="preserve">PISA scores began drifting downwards around 2012. The evidence is growing that tablets, mobile phones and other such screens are distracting youngsters from their studies and diverting them from hobbies, like reading books, that instil the ability to focus. </w:t>
      </w:r>
      <w:r>
        <w:rPr>
          <w:rFonts w:ascii="Times New Roman" w:hAnsi="Times New Roman" w:eastAsia="微软雅黑"/>
          <w:b/>
          <w:color w:val="000000"/>
          <w:sz w:val="21"/>
        </w:rPr>
        <w:t>(44)</w:t>
      </w:r>
      <w:r>
        <w:rPr>
          <w:rFonts w:ascii="Times New Roman" w:hAnsi="Times New Roman" w:eastAsia="微软雅黑"/>
          <w:b w:val="0"/>
          <w:color w:val="000000"/>
          <w:sz w:val="21"/>
        </w:rPr>
        <w:t xml:space="preserve"> About half of countries now ban mobile phones from schools to some extent; more should follow. Used carefully, technology can benefit classrooms. More usually, snazzy new tools and devices just get in the way.</w:t>
      </w:r>
    </w:p>
    <w:p w14:paraId="30510384">
      <w:pPr>
        <w:spacing w:after="200" w:line="283" w:lineRule="auto"/>
      </w:pPr>
      <w:r>
        <w:rPr>
          <w:rFonts w:ascii="Times New Roman" w:hAnsi="Times New Roman" w:eastAsia="微软雅黑"/>
          <w:b w:val="0"/>
          <w:color w:val="000000"/>
          <w:sz w:val="21"/>
        </w:rPr>
        <w:t>An even bigger problem, though, is muddle-headed thinking among educators. Some have fallen for the leftist canard that tests are harmful and grades are racist. Some have allowed reasonable worries about children’s mental health to warp into an excuse for low expectations. Some unhelpful habits acquired during the pandemic have stuck: children are still missing more lessons than before, and many teachers who relaxed their grading standards have failed to tighten up again.</w:t>
      </w:r>
    </w:p>
    <w:p w14:paraId="7703012C">
      <w:pPr>
        <w:spacing w:after="200" w:line="283" w:lineRule="auto"/>
      </w:pPr>
      <w:r>
        <w:rPr>
          <w:rFonts w:ascii="Times New Roman" w:hAnsi="Times New Roman" w:eastAsia="微软雅黑"/>
          <w:b w:val="0"/>
          <w:color w:val="000000"/>
          <w:sz w:val="21"/>
        </w:rPr>
        <w:t>What to do? There is little evidence that shovelling more cash into schools will make much difference: Japan spends 30% less per pupil than America and gets much better results. But research needs a big boost. Teaching, as a profession, remains shamefully uninterested in the evidence about which techniques work best. Education departments in universities contain some of the weakest and most radical staff, often keener on abstract ideas of social justice than the more concrete benefits that better grades might bring to pupils.</w:t>
      </w:r>
    </w:p>
    <w:p w14:paraId="7975CFB5">
      <w:pPr>
        <w:spacing w:after="200" w:line="283" w:lineRule="auto"/>
      </w:pPr>
      <w:r>
        <w:rPr>
          <w:rFonts w:ascii="Times New Roman" w:hAnsi="Times New Roman" w:eastAsia="微软雅黑"/>
          <w:b/>
          <w:color w:val="000000"/>
          <w:sz w:val="21"/>
        </w:rPr>
        <w:t>(45)</w:t>
      </w:r>
      <w:r>
        <w:rPr>
          <w:rFonts w:ascii="Times New Roman" w:hAnsi="Times New Roman" w:eastAsia="微软雅黑"/>
          <w:b w:val="0"/>
          <w:color w:val="000000"/>
          <w:sz w:val="21"/>
        </w:rPr>
        <w:t xml:space="preserve"> Britain is one. In 2009 its pupils scraped into the world’s top 30 in maths and reading. Now they sit in the top ten. Some of this stems from a return in England, under a previous Conservative government, to old-fashioned things such as rigorous exams, tough inspections and fact-filled curriculums.</w:t>
      </w:r>
    </w:p>
    <w:p w14:paraId="34A75384">
      <w:pPr>
        <w:spacing w:after="200" w:line="283" w:lineRule="auto"/>
      </w:pPr>
      <w:r>
        <w:rPr>
          <w:rFonts w:ascii="Times New Roman" w:hAnsi="Times New Roman" w:eastAsia="微软雅黑"/>
          <w:b w:val="0"/>
          <w:color w:val="000000"/>
          <w:sz w:val="21"/>
        </w:rPr>
        <w:t>Falling scores will not be fixed in a jiffy. Because it takes time to educate a child, the latest test results bear the marks of decisions taken ten to 20 years ago. That long lag makes reform politically harder. Governments that make schools better will seldom see benefits they can boast about before the next election. But they should care anyway. Politicians in past decades, from Tony Blair to George Bush, have won office promising to fix education. Today’s leaders seem to have cooled on schools, except as culture-war battlegrounds. That lack of serious attention invites calamity. As machines grow brighter, don’t let teenagers grow any dimmer.</w:t>
      </w:r>
    </w:p>
    <w:p w14:paraId="72BDB7FD">
      <w:pPr>
        <w:spacing w:after="80" w:line="269" w:lineRule="auto"/>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Teachers should therefore relax grading rules until children’s mental health improves.</w:t>
      </w:r>
    </w:p>
    <w:p w14:paraId="64B7AB22">
      <w:pPr>
        <w:spacing w:after="80" w:line="269" w:lineRule="auto"/>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Limiting screens is therefore a prudent first step.</w:t>
      </w:r>
    </w:p>
    <w:p w14:paraId="727073E1">
      <w:pPr>
        <w:spacing w:after="80" w:line="269" w:lineRule="auto"/>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Some countries show that a return to rigorous routines can reverse the slide.</w:t>
      </w:r>
    </w:p>
    <w:p w14:paraId="29975270">
      <w:pPr>
        <w:spacing w:after="80" w:line="269" w:lineRule="auto"/>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A tempting reply is that clever machines will soon make human thinking less necessary.</w:t>
      </w:r>
    </w:p>
    <w:p w14:paraId="6BF071CD">
      <w:pPr>
        <w:spacing w:after="80" w:line="269" w:lineRule="auto"/>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The pandemic explanation no longer covers a continuing, slow-moving collapse.</w:t>
      </w:r>
    </w:p>
    <w:p w14:paraId="011CD776">
      <w:pPr>
        <w:spacing w:after="80" w:line="269" w:lineRule="auto"/>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This seductive argument is profoundly wrong.</w:t>
      </w:r>
    </w:p>
    <w:p w14:paraId="5F09B213">
      <w:pPr>
        <w:spacing w:after="80" w:line="269" w:lineRule="auto"/>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The quickest remedy would be to increase schools’ core funding.</w:t>
      </w:r>
    </w:p>
    <w:p w14:paraId="2674220F">
      <w:r>
        <w:br w:type="page"/>
      </w:r>
    </w:p>
    <w:p w14:paraId="45F64769">
      <w:pPr>
        <w:keepNext/>
        <w:spacing w:before="280" w:after="120"/>
      </w:pPr>
      <w:r>
        <w:rPr>
          <w:rFonts w:ascii="Times New Roman" w:hAnsi="Times New Roman" w:eastAsia="微软雅黑"/>
          <w:b/>
          <w:color w:val="000000"/>
          <w:sz w:val="28"/>
        </w:rPr>
        <w:t>答案与解析</w:t>
      </w:r>
    </w:p>
    <w:p w14:paraId="4FD357BA">
      <w:pPr>
        <w:keepNext/>
        <w:spacing w:before="200" w:after="120"/>
      </w:pPr>
      <w:r>
        <w:rPr>
          <w:rFonts w:ascii="Times New Roman" w:hAnsi="Times New Roman" w:eastAsia="微软雅黑"/>
          <w:b/>
          <w:color w:val="000000"/>
          <w:sz w:val="24"/>
        </w:rPr>
        <w:t>答案速查</w:t>
      </w:r>
    </w:p>
    <w:p w14:paraId="09A54B49">
      <w:pPr>
        <w:spacing w:after="200" w:line="276" w:lineRule="auto"/>
      </w:pPr>
      <w:r>
        <w:rPr>
          <w:rFonts w:ascii="Times New Roman" w:hAnsi="Times New Roman" w:eastAsia="微软雅黑"/>
          <w:b/>
          <w:color w:val="000000"/>
          <w:sz w:val="21"/>
        </w:rPr>
        <w:t>41. E    42. D    43. F    44. B    45. C</w:t>
      </w:r>
    </w:p>
    <w:p w14:paraId="6A6EBA57">
      <w:pPr>
        <w:keepNext/>
        <w:spacing w:before="200" w:after="120"/>
      </w:pPr>
      <w:r>
        <w:rPr>
          <w:rFonts w:ascii="Times New Roman" w:hAnsi="Times New Roman" w:eastAsia="微软雅黑"/>
          <w:b/>
          <w:color w:val="000000"/>
          <w:sz w:val="24"/>
        </w:rPr>
        <w:t>文章与命题分析</w:t>
      </w:r>
    </w:p>
    <w:p w14:paraId="6021C04F">
      <w:pPr>
        <w:spacing w:after="80" w:line="276" w:lineRule="auto"/>
      </w:pPr>
      <w:r>
        <w:rPr>
          <w:rFonts w:ascii="Times New Roman" w:hAnsi="Times New Roman" w:eastAsia="微软雅黑"/>
          <w:b w:val="0"/>
          <w:color w:val="000000"/>
          <w:sz w:val="21"/>
        </w:rPr>
        <w:t>文章主旨：富裕国家的学生成绩持续下降，疫情只能解释其中一小部分；文章主张用屏幕管理、教师研究和严格教学回应这一慢性危机。</w:t>
      </w:r>
    </w:p>
    <w:p w14:paraId="4CD7BC0B">
      <w:pPr>
        <w:spacing w:after="80" w:line="276" w:lineRule="auto"/>
      </w:pPr>
      <w:r>
        <w:rPr>
          <w:rFonts w:ascii="Times New Roman" w:hAnsi="Times New Roman" w:eastAsia="微软雅黑"/>
          <w:b w:val="0"/>
          <w:color w:val="000000"/>
          <w:sz w:val="21"/>
        </w:rPr>
        <w:t>结构脉络：成绩下降现象 → 成绩的社会意义 → AI 导致的诱惑性误解 → 反驳误解 → 屏幕与教学问题 → 改革方向 → 英国例证 → 政治后果。</w:t>
      </w:r>
    </w:p>
    <w:p w14:paraId="57BFA6CE">
      <w:pPr>
        <w:spacing w:after="80" w:line="276" w:lineRule="auto"/>
      </w:pPr>
      <w:r>
        <w:rPr>
          <w:rFonts w:ascii="Times New Roman" w:hAnsi="Times New Roman" w:eastAsia="微软雅黑"/>
          <w:b w:val="0"/>
          <w:color w:val="000000"/>
          <w:sz w:val="21"/>
        </w:rPr>
        <w:t>题型适配：文段有“现象—意义—反问—反驳—措施—例证”的强推进，五个空都需要同时承接前句并开启后句，适合7选5。</w:t>
      </w:r>
    </w:p>
    <w:p w14:paraId="3B63DE36">
      <w:pPr>
        <w:spacing w:after="200" w:line="276" w:lineRule="auto"/>
      </w:pPr>
      <w:r>
        <w:rPr>
          <w:rFonts w:ascii="Times New Roman" w:hAnsi="Times New Roman" w:eastAsia="微软雅黑"/>
          <w:b w:val="0"/>
          <w:color w:val="000000"/>
          <w:sz w:val="21"/>
        </w:rPr>
        <w:t>解题入口：抓住 pandemic 的解释力耗尽、AI 的疑问与反驳关系、screens 的因果推进、以及 Britain 与前句国家例证的衔接。</w:t>
      </w:r>
    </w:p>
    <w:p w14:paraId="20C6870D">
      <w:pPr>
        <w:keepNext/>
        <w:spacing w:before="200" w:after="120"/>
      </w:pPr>
      <w:r>
        <w:rPr>
          <w:rFonts w:ascii="Times New Roman" w:hAnsi="Times New Roman" w:eastAsia="微软雅黑"/>
          <w:b/>
          <w:color w:val="000000"/>
          <w:sz w:val="24"/>
        </w:rPr>
        <w:t>选项总览</w:t>
      </w:r>
    </w:p>
    <w:p w14:paraId="7DE9A39C">
      <w:pPr>
        <w:spacing w:after="80"/>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把心理健康与降低评分要求绑定，态度方向失真。</w:t>
      </w:r>
    </w:p>
    <w:p w14:paraId="2E05EC8B">
      <w:pPr>
        <w:spacing w:after="80"/>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从屏幕干扰推出限制屏幕的措施。</w:t>
      </w:r>
    </w:p>
    <w:p w14:paraId="7593839A">
      <w:pPr>
        <w:spacing w:after="80"/>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用某些国家的经验说明成绩可以回升。</w:t>
      </w:r>
    </w:p>
    <w:p w14:paraId="21A5B037">
      <w:pPr>
        <w:spacing w:after="80"/>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提出“AI 使人类思考不重要”的诱惑性回应。</w:t>
      </w:r>
    </w:p>
    <w:p w14:paraId="620E8EC4">
      <w:pPr>
        <w:spacing w:after="80"/>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把持续下滑与疫情解释区分开。</w:t>
      </w:r>
    </w:p>
    <w:p w14:paraId="30677B0B">
      <w:pPr>
        <w:spacing w:after="80"/>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以强反驳承接上文诱因。</w:t>
      </w:r>
    </w:p>
    <w:p w14:paraId="1A348248">
      <w:pPr>
        <w:spacing w:after="80"/>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把增加经费说成最快解法，与下文证据相反。</w:t>
      </w:r>
    </w:p>
    <w:p w14:paraId="0C66E35C">
      <w:pPr>
        <w:spacing w:after="120" w:line="276" w:lineRule="auto"/>
      </w:pPr>
    </w:p>
    <w:p w14:paraId="604F0B64">
      <w:pPr>
        <w:keepNext/>
        <w:spacing w:before="200" w:after="120"/>
      </w:pPr>
      <w:r>
        <w:rPr>
          <w:rFonts w:ascii="Times New Roman" w:hAnsi="Times New Roman" w:eastAsia="微软雅黑"/>
          <w:b/>
          <w:color w:val="000000"/>
          <w:sz w:val="23"/>
        </w:rPr>
        <w:t>41.【答案】E</w:t>
      </w:r>
    </w:p>
    <w:p w14:paraId="0554A5F6">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第一段段末；空格前写成绩继续下降，第二段转入成绩的意义。</w:t>
      </w:r>
    </w:p>
    <w:p w14:paraId="0BA6419C">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前文先否定疫情解释，再以“现在仍快速下降”推进；【E】中的“pandemic explanation”和“continuing, slow-moving collapse”把两层信息收束为段末结论。第二段转而讨论成绩的重要性，也与危机判断自然衔接。</w:t>
      </w:r>
    </w:p>
    <w:p w14:paraId="15DDE492">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689B7BF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0C69F241">
            <w:pPr>
              <w:spacing w:after="40"/>
            </w:pPr>
            <w:r>
              <w:rPr>
                <w:rFonts w:ascii="Times New Roman" w:hAnsi="Times New Roman" w:eastAsia="微软雅黑"/>
                <w:b/>
                <w:color w:val="FFFFFF"/>
                <w:sz w:val="20"/>
              </w:rPr>
              <w:t>选项</w:t>
            </w:r>
          </w:p>
        </w:tc>
        <w:tc>
          <w:tcPr>
            <w:tcW w:w="1224" w:type="dxa"/>
            <w:shd w:val="clear" w:color="auto" w:fill="1F4E79"/>
          </w:tcPr>
          <w:p w14:paraId="155C88CC">
            <w:pPr>
              <w:spacing w:after="40"/>
            </w:pPr>
            <w:r>
              <w:rPr>
                <w:rFonts w:ascii="Times New Roman" w:hAnsi="Times New Roman" w:eastAsia="微软雅黑"/>
                <w:b/>
                <w:color w:val="FFFFFF"/>
                <w:sz w:val="20"/>
              </w:rPr>
              <w:t>判断</w:t>
            </w:r>
          </w:p>
        </w:tc>
        <w:tc>
          <w:tcPr>
            <w:tcW w:w="7344" w:type="dxa"/>
            <w:shd w:val="clear" w:color="auto" w:fill="1F4E79"/>
          </w:tcPr>
          <w:p w14:paraId="5D38EFF4">
            <w:pPr>
              <w:spacing w:after="40"/>
            </w:pPr>
            <w:r>
              <w:rPr>
                <w:rFonts w:ascii="Times New Roman" w:hAnsi="Times New Roman" w:eastAsia="微软雅黑"/>
                <w:b/>
                <w:color w:val="FFFFFF"/>
                <w:sz w:val="20"/>
              </w:rPr>
              <w:t>理由</w:t>
            </w:r>
          </w:p>
        </w:tc>
      </w:tr>
      <w:tr w14:paraId="533FCC2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FBDE7B1">
            <w:pPr>
              <w:spacing w:after="40" w:line="259" w:lineRule="auto"/>
            </w:pPr>
            <w:r>
              <w:rPr>
                <w:rFonts w:ascii="Times New Roman" w:hAnsi="Times New Roman" w:eastAsia="微软雅黑"/>
                <w:b w:val="0"/>
                <w:color w:val="000000"/>
                <w:sz w:val="19"/>
              </w:rPr>
              <w:t>A</w:t>
            </w:r>
          </w:p>
        </w:tc>
        <w:tc>
          <w:tcPr>
            <w:tcW w:w="1224" w:type="dxa"/>
          </w:tcPr>
          <w:p w14:paraId="31EAF7E4">
            <w:pPr>
              <w:spacing w:after="40" w:line="259" w:lineRule="auto"/>
            </w:pPr>
            <w:r>
              <w:rPr>
                <w:rFonts w:ascii="Times New Roman" w:hAnsi="Times New Roman" w:eastAsia="微软雅黑"/>
                <w:b w:val="0"/>
                <w:color w:val="000000"/>
                <w:sz w:val="19"/>
              </w:rPr>
              <w:t>不能选</w:t>
            </w:r>
          </w:p>
        </w:tc>
        <w:tc>
          <w:tcPr>
            <w:tcW w:w="7344" w:type="dxa"/>
          </w:tcPr>
          <w:p w14:paraId="61B6D24E">
            <w:pPr>
              <w:spacing w:after="40" w:line="259" w:lineRule="auto"/>
            </w:pPr>
            <w:r>
              <w:rPr>
                <w:rFonts w:ascii="Times New Roman" w:hAnsi="Times New Roman" w:eastAsia="微软雅黑"/>
                <w:b w:val="0"/>
                <w:color w:val="000000"/>
                <w:sz w:val="19"/>
              </w:rPr>
              <w:t>降低评分要求与下文批评教师降低期待的方向相反。</w:t>
            </w:r>
          </w:p>
        </w:tc>
      </w:tr>
      <w:tr w14:paraId="50304CC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22BA98F8">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2AD64D82">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6A7900D">
            <w:pPr>
              <w:spacing w:after="40" w:line="259" w:lineRule="auto"/>
            </w:pPr>
            <w:r>
              <w:rPr>
                <w:rFonts w:ascii="Times New Roman" w:hAnsi="Times New Roman" w:eastAsia="微软雅黑"/>
                <w:b w:val="0"/>
                <w:color w:val="000000"/>
                <w:sz w:val="19"/>
              </w:rPr>
              <w:t>此处尚未出现屏幕干扰的证据。</w:t>
            </w:r>
          </w:p>
        </w:tc>
      </w:tr>
      <w:tr w14:paraId="64AEF57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72625D80">
            <w:pPr>
              <w:spacing w:after="40" w:line="259" w:lineRule="auto"/>
            </w:pPr>
            <w:r>
              <w:rPr>
                <w:rFonts w:ascii="Times New Roman" w:hAnsi="Times New Roman" w:eastAsia="微软雅黑"/>
                <w:b w:val="0"/>
                <w:color w:val="000000"/>
                <w:sz w:val="19"/>
              </w:rPr>
              <w:t>C</w:t>
            </w:r>
          </w:p>
        </w:tc>
        <w:tc>
          <w:tcPr>
            <w:tcW w:w="1224" w:type="dxa"/>
          </w:tcPr>
          <w:p w14:paraId="2276397D">
            <w:pPr>
              <w:spacing w:after="40" w:line="259" w:lineRule="auto"/>
            </w:pPr>
            <w:r>
              <w:rPr>
                <w:rFonts w:ascii="Times New Roman" w:hAnsi="Times New Roman" w:eastAsia="微软雅黑"/>
                <w:b w:val="0"/>
                <w:color w:val="000000"/>
                <w:sz w:val="19"/>
              </w:rPr>
              <w:t>不能选</w:t>
            </w:r>
          </w:p>
        </w:tc>
        <w:tc>
          <w:tcPr>
            <w:tcW w:w="7344" w:type="dxa"/>
          </w:tcPr>
          <w:p w14:paraId="1A43C382">
            <w:pPr>
              <w:spacing w:after="40" w:line="259" w:lineRule="auto"/>
            </w:pPr>
            <w:r>
              <w:rPr>
                <w:rFonts w:ascii="Times New Roman" w:hAnsi="Times New Roman" w:eastAsia="微软雅黑"/>
                <w:b w:val="0"/>
                <w:color w:val="000000"/>
                <w:sz w:val="19"/>
              </w:rPr>
              <w:t>回升例证在文末，不能提前总结首段危机。</w:t>
            </w:r>
          </w:p>
        </w:tc>
      </w:tr>
      <w:tr w14:paraId="15DF613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2448F8DE">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6998E885">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0F24DBE">
            <w:pPr>
              <w:spacing w:after="40" w:line="259" w:lineRule="auto"/>
            </w:pPr>
            <w:r>
              <w:rPr>
                <w:rFonts w:ascii="Times New Roman" w:hAnsi="Times New Roman" w:eastAsia="微软雅黑"/>
                <w:b w:val="0"/>
                <w:color w:val="000000"/>
                <w:sz w:val="19"/>
              </w:rPr>
              <w:t>AI 误解放置在此会打断“成绩下降—成绩意义”的推进。</w:t>
            </w:r>
          </w:p>
        </w:tc>
      </w:tr>
      <w:tr w14:paraId="555F32D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22C7BD4C">
            <w:pPr>
              <w:spacing w:after="40" w:line="259" w:lineRule="auto"/>
            </w:pPr>
            <w:r>
              <w:rPr>
                <w:rFonts w:ascii="Times New Roman" w:hAnsi="Times New Roman" w:eastAsia="微软雅黑"/>
                <w:b w:val="0"/>
                <w:color w:val="000000"/>
                <w:sz w:val="19"/>
              </w:rPr>
              <w:t>E</w:t>
            </w:r>
          </w:p>
        </w:tc>
        <w:tc>
          <w:tcPr>
            <w:tcW w:w="1224" w:type="dxa"/>
          </w:tcPr>
          <w:p w14:paraId="461D52F4">
            <w:pPr>
              <w:spacing w:after="40" w:line="259" w:lineRule="auto"/>
            </w:pPr>
            <w:r>
              <w:rPr>
                <w:rFonts w:ascii="Times New Roman" w:hAnsi="Times New Roman" w:eastAsia="微软雅黑"/>
                <w:b w:val="0"/>
                <w:color w:val="000000"/>
                <w:sz w:val="19"/>
              </w:rPr>
              <w:t>正确</w:t>
            </w:r>
          </w:p>
        </w:tc>
        <w:tc>
          <w:tcPr>
            <w:tcW w:w="7344" w:type="dxa"/>
          </w:tcPr>
          <w:p w14:paraId="3C197745">
            <w:pPr>
              <w:spacing w:after="40" w:line="259" w:lineRule="auto"/>
            </w:pPr>
            <w:r>
              <w:rPr>
                <w:rFonts w:ascii="Times New Roman" w:hAnsi="Times New Roman" w:eastAsia="微软雅黑"/>
                <w:b w:val="0"/>
                <w:color w:val="000000"/>
                <w:sz w:val="19"/>
              </w:rPr>
              <w:t>收束疫情解释失效和成绩持续下降的对照。</w:t>
            </w:r>
          </w:p>
        </w:tc>
      </w:tr>
      <w:tr w14:paraId="3C8180D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6FC7FE16">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1F7961EF">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98903FC">
            <w:pPr>
              <w:spacing w:after="40" w:line="259" w:lineRule="auto"/>
            </w:pPr>
            <w:r>
              <w:rPr>
                <w:rFonts w:ascii="Times New Roman" w:hAnsi="Times New Roman" w:eastAsia="微软雅黑"/>
                <w:b w:val="0"/>
                <w:color w:val="000000"/>
                <w:sz w:val="19"/>
              </w:rPr>
              <w:t>“This argument”缺少明确先行对象。</w:t>
            </w:r>
          </w:p>
        </w:tc>
      </w:tr>
      <w:tr w14:paraId="3521833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770CE820">
            <w:pPr>
              <w:spacing w:after="40" w:line="259" w:lineRule="auto"/>
            </w:pPr>
            <w:r>
              <w:rPr>
                <w:rFonts w:ascii="Times New Roman" w:hAnsi="Times New Roman" w:eastAsia="微软雅黑"/>
                <w:b w:val="0"/>
                <w:color w:val="000000"/>
                <w:sz w:val="19"/>
              </w:rPr>
              <w:t>G</w:t>
            </w:r>
          </w:p>
        </w:tc>
        <w:tc>
          <w:tcPr>
            <w:tcW w:w="1224" w:type="dxa"/>
          </w:tcPr>
          <w:p w14:paraId="1208DC66">
            <w:pPr>
              <w:spacing w:after="40" w:line="259" w:lineRule="auto"/>
            </w:pPr>
            <w:r>
              <w:rPr>
                <w:rFonts w:ascii="Times New Roman" w:hAnsi="Times New Roman" w:eastAsia="微软雅黑"/>
                <w:b w:val="0"/>
                <w:color w:val="000000"/>
                <w:sz w:val="19"/>
              </w:rPr>
              <w:t>不能选</w:t>
            </w:r>
          </w:p>
        </w:tc>
        <w:tc>
          <w:tcPr>
            <w:tcW w:w="7344" w:type="dxa"/>
          </w:tcPr>
          <w:p w14:paraId="6B06D9A9">
            <w:pPr>
              <w:spacing w:after="40" w:line="259" w:lineRule="auto"/>
            </w:pPr>
            <w:r>
              <w:rPr>
                <w:rFonts w:ascii="Times New Roman" w:hAnsi="Times New Roman" w:eastAsia="微软雅黑"/>
                <w:b w:val="0"/>
                <w:color w:val="000000"/>
                <w:sz w:val="19"/>
              </w:rPr>
              <w:t>增加经费与后文“经费作用有限”相矛盾。</w:t>
            </w:r>
          </w:p>
        </w:tc>
      </w:tr>
    </w:tbl>
    <w:p w14:paraId="60128FBA">
      <w:pPr>
        <w:spacing w:after="160" w:line="276" w:lineRule="auto"/>
      </w:pPr>
    </w:p>
    <w:p w14:paraId="73905612">
      <w:pPr>
        <w:keepNext/>
        <w:spacing w:before="200" w:after="120"/>
      </w:pPr>
      <w:r>
        <w:rPr>
          <w:rFonts w:ascii="Times New Roman" w:hAnsi="Times New Roman" w:eastAsia="微软雅黑"/>
          <w:b/>
          <w:color w:val="000000"/>
          <w:sz w:val="23"/>
        </w:rPr>
        <w:t>42.【答案】D</w:t>
      </w:r>
    </w:p>
    <w:p w14:paraId="62856A18">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第三段段首；空格后以“The adults of the future…”展开。</w:t>
      </w:r>
    </w:p>
    <w:p w14:paraId="7FD7CB0F">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【D】中的“tempting reply”开启新的反问立场；“clever machines”和“human thinking”直接对应后文的“outsource their thinking”和“clever machines”。它使第三段成为被反驳的对象句。</w:t>
      </w:r>
    </w:p>
    <w:p w14:paraId="7B413DF8">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08C9DA6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5FF3DC25">
            <w:pPr>
              <w:spacing w:after="40"/>
            </w:pPr>
            <w:r>
              <w:rPr>
                <w:rFonts w:ascii="Times New Roman" w:hAnsi="Times New Roman" w:eastAsia="微软雅黑"/>
                <w:b/>
                <w:color w:val="FFFFFF"/>
                <w:sz w:val="20"/>
              </w:rPr>
              <w:t>选项</w:t>
            </w:r>
          </w:p>
        </w:tc>
        <w:tc>
          <w:tcPr>
            <w:tcW w:w="1224" w:type="dxa"/>
            <w:shd w:val="clear" w:color="auto" w:fill="1F4E79"/>
          </w:tcPr>
          <w:p w14:paraId="37773D7F">
            <w:pPr>
              <w:spacing w:after="40"/>
            </w:pPr>
            <w:r>
              <w:rPr>
                <w:rFonts w:ascii="Times New Roman" w:hAnsi="Times New Roman" w:eastAsia="微软雅黑"/>
                <w:b/>
                <w:color w:val="FFFFFF"/>
                <w:sz w:val="20"/>
              </w:rPr>
              <w:t>判断</w:t>
            </w:r>
          </w:p>
        </w:tc>
        <w:tc>
          <w:tcPr>
            <w:tcW w:w="7344" w:type="dxa"/>
            <w:shd w:val="clear" w:color="auto" w:fill="1F4E79"/>
          </w:tcPr>
          <w:p w14:paraId="423067DB">
            <w:pPr>
              <w:spacing w:after="40"/>
            </w:pPr>
            <w:r>
              <w:rPr>
                <w:rFonts w:ascii="Times New Roman" w:hAnsi="Times New Roman" w:eastAsia="微软雅黑"/>
                <w:b/>
                <w:color w:val="FFFFFF"/>
                <w:sz w:val="20"/>
              </w:rPr>
              <w:t>理由</w:t>
            </w:r>
          </w:p>
        </w:tc>
      </w:tr>
      <w:tr w14:paraId="4AB3181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783A9B3E">
            <w:pPr>
              <w:spacing w:after="40" w:line="259" w:lineRule="auto"/>
            </w:pPr>
            <w:r>
              <w:rPr>
                <w:rFonts w:ascii="Times New Roman" w:hAnsi="Times New Roman" w:eastAsia="微软雅黑"/>
                <w:b w:val="0"/>
                <w:color w:val="000000"/>
                <w:sz w:val="19"/>
              </w:rPr>
              <w:t>A</w:t>
            </w:r>
          </w:p>
        </w:tc>
        <w:tc>
          <w:tcPr>
            <w:tcW w:w="1224" w:type="dxa"/>
          </w:tcPr>
          <w:p w14:paraId="2FA1B8CD">
            <w:pPr>
              <w:spacing w:after="40" w:line="259" w:lineRule="auto"/>
            </w:pPr>
            <w:r>
              <w:rPr>
                <w:rFonts w:ascii="Times New Roman" w:hAnsi="Times New Roman" w:eastAsia="微软雅黑"/>
                <w:b w:val="0"/>
                <w:color w:val="000000"/>
                <w:sz w:val="19"/>
              </w:rPr>
              <w:t>不能选</w:t>
            </w:r>
          </w:p>
        </w:tc>
        <w:tc>
          <w:tcPr>
            <w:tcW w:w="7344" w:type="dxa"/>
          </w:tcPr>
          <w:p w14:paraId="02DB9399">
            <w:pPr>
              <w:spacing w:after="40" w:line="259" w:lineRule="auto"/>
            </w:pPr>
            <w:r>
              <w:rPr>
                <w:rFonts w:ascii="Times New Roman" w:hAnsi="Times New Roman" w:eastAsia="微软雅黑"/>
                <w:b w:val="0"/>
                <w:color w:val="000000"/>
                <w:sz w:val="19"/>
              </w:rPr>
              <w:t>心理健康理由在下一段之后才出现，且并非本段诱因。</w:t>
            </w:r>
          </w:p>
        </w:tc>
      </w:tr>
      <w:tr w14:paraId="20C80C8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13A4065C">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715769CF">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4052848">
            <w:pPr>
              <w:spacing w:after="40" w:line="259" w:lineRule="auto"/>
            </w:pPr>
            <w:r>
              <w:rPr>
                <w:rFonts w:ascii="Times New Roman" w:hAnsi="Times New Roman" w:eastAsia="微软雅黑"/>
                <w:b w:val="0"/>
                <w:color w:val="000000"/>
                <w:sz w:val="19"/>
              </w:rPr>
              <w:t>屏幕措施与“outsource thinking”的推理链无关。</w:t>
            </w:r>
          </w:p>
        </w:tc>
      </w:tr>
      <w:tr w14:paraId="2B6888F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2B9D1CD2">
            <w:pPr>
              <w:spacing w:after="40" w:line="259" w:lineRule="auto"/>
            </w:pPr>
            <w:r>
              <w:rPr>
                <w:rFonts w:ascii="Times New Roman" w:hAnsi="Times New Roman" w:eastAsia="微软雅黑"/>
                <w:b w:val="0"/>
                <w:color w:val="000000"/>
                <w:sz w:val="19"/>
              </w:rPr>
              <w:t>C</w:t>
            </w:r>
          </w:p>
        </w:tc>
        <w:tc>
          <w:tcPr>
            <w:tcW w:w="1224" w:type="dxa"/>
          </w:tcPr>
          <w:p w14:paraId="5FB92B13">
            <w:pPr>
              <w:spacing w:after="40" w:line="259" w:lineRule="auto"/>
            </w:pPr>
            <w:r>
              <w:rPr>
                <w:rFonts w:ascii="Times New Roman" w:hAnsi="Times New Roman" w:eastAsia="微软雅黑"/>
                <w:b w:val="0"/>
                <w:color w:val="000000"/>
                <w:sz w:val="19"/>
              </w:rPr>
              <w:t>不能选</w:t>
            </w:r>
          </w:p>
        </w:tc>
        <w:tc>
          <w:tcPr>
            <w:tcW w:w="7344" w:type="dxa"/>
          </w:tcPr>
          <w:p w14:paraId="0AD9EA50">
            <w:pPr>
              <w:spacing w:after="40" w:line="259" w:lineRule="auto"/>
            </w:pPr>
            <w:r>
              <w:rPr>
                <w:rFonts w:ascii="Times New Roman" w:hAnsi="Times New Roman" w:eastAsia="微软雅黑"/>
                <w:b w:val="0"/>
                <w:color w:val="000000"/>
                <w:sz w:val="19"/>
              </w:rPr>
              <w:t>回升例证不能开启对 AI 的质疑。</w:t>
            </w:r>
          </w:p>
        </w:tc>
      </w:tr>
      <w:tr w14:paraId="524C706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6354D11A">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62DF24FC">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366B3F54">
            <w:pPr>
              <w:spacing w:after="40" w:line="259" w:lineRule="auto"/>
            </w:pPr>
            <w:r>
              <w:rPr>
                <w:rFonts w:ascii="Times New Roman" w:hAnsi="Times New Roman" w:eastAsia="微软雅黑"/>
                <w:b w:val="0"/>
                <w:color w:val="000000"/>
                <w:sz w:val="19"/>
              </w:rPr>
              <w:t>提出 AI 让思考不重要的诱惑，衔接后文外包思考的想象。</w:t>
            </w:r>
          </w:p>
        </w:tc>
      </w:tr>
      <w:tr w14:paraId="4760BF5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068544EF">
            <w:pPr>
              <w:spacing w:after="40" w:line="259" w:lineRule="auto"/>
            </w:pPr>
            <w:r>
              <w:rPr>
                <w:rFonts w:ascii="Times New Roman" w:hAnsi="Times New Roman" w:eastAsia="微软雅黑"/>
                <w:b w:val="0"/>
                <w:color w:val="000000"/>
                <w:sz w:val="19"/>
              </w:rPr>
              <w:t>E</w:t>
            </w:r>
          </w:p>
        </w:tc>
        <w:tc>
          <w:tcPr>
            <w:tcW w:w="1224" w:type="dxa"/>
          </w:tcPr>
          <w:p w14:paraId="179A78D5">
            <w:pPr>
              <w:spacing w:after="40" w:line="259" w:lineRule="auto"/>
            </w:pPr>
            <w:r>
              <w:rPr>
                <w:rFonts w:ascii="Times New Roman" w:hAnsi="Times New Roman" w:eastAsia="微软雅黑"/>
                <w:b w:val="0"/>
                <w:color w:val="000000"/>
                <w:sz w:val="19"/>
              </w:rPr>
              <w:t>不能选</w:t>
            </w:r>
          </w:p>
        </w:tc>
        <w:tc>
          <w:tcPr>
            <w:tcW w:w="7344" w:type="dxa"/>
          </w:tcPr>
          <w:p w14:paraId="0BC1AD22">
            <w:pPr>
              <w:spacing w:after="40" w:line="259" w:lineRule="auto"/>
            </w:pPr>
            <w:r>
              <w:rPr>
                <w:rFonts w:ascii="Times New Roman" w:hAnsi="Times New Roman" w:eastAsia="微软雅黑"/>
                <w:b w:val="0"/>
                <w:color w:val="000000"/>
                <w:sz w:val="19"/>
              </w:rPr>
              <w:t>此处已离开疫情解释，不宜回跳。</w:t>
            </w:r>
          </w:p>
        </w:tc>
      </w:tr>
      <w:tr w14:paraId="169C3E8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4BB170D3">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2FB59541">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37D5AB9">
            <w:pPr>
              <w:spacing w:after="40" w:line="259" w:lineRule="auto"/>
            </w:pPr>
            <w:r>
              <w:rPr>
                <w:rFonts w:ascii="Times New Roman" w:hAnsi="Times New Roman" w:eastAsia="微软雅黑"/>
                <w:b w:val="0"/>
                <w:color w:val="000000"/>
                <w:sz w:val="19"/>
              </w:rPr>
              <w:t>反驳必须先有被反驳观点，不能置于段首。</w:t>
            </w:r>
          </w:p>
        </w:tc>
      </w:tr>
      <w:tr w14:paraId="2ABCC0A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6E8AD03">
            <w:pPr>
              <w:spacing w:after="40" w:line="259" w:lineRule="auto"/>
            </w:pPr>
            <w:r>
              <w:rPr>
                <w:rFonts w:ascii="Times New Roman" w:hAnsi="Times New Roman" w:eastAsia="微软雅黑"/>
                <w:b w:val="0"/>
                <w:color w:val="000000"/>
                <w:sz w:val="19"/>
              </w:rPr>
              <w:t>G</w:t>
            </w:r>
          </w:p>
        </w:tc>
        <w:tc>
          <w:tcPr>
            <w:tcW w:w="1224" w:type="dxa"/>
          </w:tcPr>
          <w:p w14:paraId="47755A9F">
            <w:pPr>
              <w:spacing w:after="40" w:line="259" w:lineRule="auto"/>
            </w:pPr>
            <w:r>
              <w:rPr>
                <w:rFonts w:ascii="Times New Roman" w:hAnsi="Times New Roman" w:eastAsia="微软雅黑"/>
                <w:b w:val="0"/>
                <w:color w:val="000000"/>
                <w:sz w:val="19"/>
              </w:rPr>
              <w:t>不能选</w:t>
            </w:r>
          </w:p>
        </w:tc>
        <w:tc>
          <w:tcPr>
            <w:tcW w:w="7344" w:type="dxa"/>
          </w:tcPr>
          <w:p w14:paraId="09E07214">
            <w:pPr>
              <w:spacing w:after="40" w:line="259" w:lineRule="auto"/>
            </w:pPr>
            <w:r>
              <w:rPr>
                <w:rFonts w:ascii="Times New Roman" w:hAnsi="Times New Roman" w:eastAsia="微软雅黑"/>
                <w:b w:val="0"/>
                <w:color w:val="000000"/>
                <w:sz w:val="19"/>
              </w:rPr>
              <w:t>增加经费与 AI 反问无关。</w:t>
            </w:r>
          </w:p>
        </w:tc>
      </w:tr>
    </w:tbl>
    <w:p w14:paraId="1017FD03">
      <w:pPr>
        <w:spacing w:after="160" w:line="276" w:lineRule="auto"/>
      </w:pPr>
    </w:p>
    <w:p w14:paraId="5572EDB7">
      <w:pPr>
        <w:keepNext/>
        <w:spacing w:before="200" w:after="120"/>
      </w:pPr>
      <w:r>
        <w:rPr>
          <w:rFonts w:ascii="Times New Roman" w:hAnsi="Times New Roman" w:eastAsia="微软雅黑"/>
          <w:b/>
          <w:color w:val="000000"/>
          <w:sz w:val="23"/>
        </w:rPr>
        <w:t>43.【答案】F</w:t>
      </w:r>
    </w:p>
    <w:p w14:paraId="15784892">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第四段段首；空格前提出 AI 诱惑，空格后开始反驳。</w:t>
      </w:r>
    </w:p>
    <w:p w14:paraId="04099810">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【F】的“This seductive argument”唯一稳定地回指【D】提出的诱惑性观点；“profoundly wrong”开启后文“could not be more wrong”式的反驳，并引出 AI 反而要求更多思维训练的论证。</w:t>
      </w:r>
    </w:p>
    <w:p w14:paraId="37C92889">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0495F96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334A6F5D">
            <w:pPr>
              <w:spacing w:after="40"/>
            </w:pPr>
            <w:r>
              <w:rPr>
                <w:rFonts w:ascii="Times New Roman" w:hAnsi="Times New Roman" w:eastAsia="微软雅黑"/>
                <w:b/>
                <w:color w:val="FFFFFF"/>
                <w:sz w:val="20"/>
              </w:rPr>
              <w:t>选项</w:t>
            </w:r>
          </w:p>
        </w:tc>
        <w:tc>
          <w:tcPr>
            <w:tcW w:w="1224" w:type="dxa"/>
            <w:shd w:val="clear" w:color="auto" w:fill="1F4E79"/>
          </w:tcPr>
          <w:p w14:paraId="25C24597">
            <w:pPr>
              <w:spacing w:after="40"/>
            </w:pPr>
            <w:r>
              <w:rPr>
                <w:rFonts w:ascii="Times New Roman" w:hAnsi="Times New Roman" w:eastAsia="微软雅黑"/>
                <w:b/>
                <w:color w:val="FFFFFF"/>
                <w:sz w:val="20"/>
              </w:rPr>
              <w:t>判断</w:t>
            </w:r>
          </w:p>
        </w:tc>
        <w:tc>
          <w:tcPr>
            <w:tcW w:w="7344" w:type="dxa"/>
            <w:shd w:val="clear" w:color="auto" w:fill="1F4E79"/>
          </w:tcPr>
          <w:p w14:paraId="1F7FA03B">
            <w:pPr>
              <w:spacing w:after="40"/>
            </w:pPr>
            <w:r>
              <w:rPr>
                <w:rFonts w:ascii="Times New Roman" w:hAnsi="Times New Roman" w:eastAsia="微软雅黑"/>
                <w:b/>
                <w:color w:val="FFFFFF"/>
                <w:sz w:val="20"/>
              </w:rPr>
              <w:t>理由</w:t>
            </w:r>
          </w:p>
        </w:tc>
      </w:tr>
      <w:tr w14:paraId="09F512F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18A8BB7A">
            <w:pPr>
              <w:spacing w:after="40" w:line="259" w:lineRule="auto"/>
            </w:pPr>
            <w:r>
              <w:rPr>
                <w:rFonts w:ascii="Times New Roman" w:hAnsi="Times New Roman" w:eastAsia="微软雅黑"/>
                <w:b w:val="0"/>
                <w:color w:val="000000"/>
                <w:sz w:val="19"/>
              </w:rPr>
              <w:t>A</w:t>
            </w:r>
          </w:p>
        </w:tc>
        <w:tc>
          <w:tcPr>
            <w:tcW w:w="1224" w:type="dxa"/>
          </w:tcPr>
          <w:p w14:paraId="47E622D9">
            <w:pPr>
              <w:spacing w:after="40" w:line="259" w:lineRule="auto"/>
            </w:pPr>
            <w:r>
              <w:rPr>
                <w:rFonts w:ascii="Times New Roman" w:hAnsi="Times New Roman" w:eastAsia="微软雅黑"/>
                <w:b w:val="0"/>
                <w:color w:val="000000"/>
                <w:sz w:val="19"/>
              </w:rPr>
              <w:t>不能选</w:t>
            </w:r>
          </w:p>
        </w:tc>
        <w:tc>
          <w:tcPr>
            <w:tcW w:w="7344" w:type="dxa"/>
          </w:tcPr>
          <w:p w14:paraId="002970D8">
            <w:pPr>
              <w:spacing w:after="40" w:line="259" w:lineRule="auto"/>
            </w:pPr>
            <w:r>
              <w:rPr>
                <w:rFonts w:ascii="Times New Roman" w:hAnsi="Times New Roman" w:eastAsia="微软雅黑"/>
                <w:b w:val="0"/>
                <w:color w:val="000000"/>
                <w:sz w:val="19"/>
              </w:rPr>
              <w:t>放松评分不是本段对 AI 观点的回应。</w:t>
            </w:r>
          </w:p>
        </w:tc>
      </w:tr>
      <w:tr w14:paraId="58E4BB4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1048B0E7">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0F4E743B">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49EA97A">
            <w:pPr>
              <w:spacing w:after="40" w:line="259" w:lineRule="auto"/>
            </w:pPr>
            <w:r>
              <w:rPr>
                <w:rFonts w:ascii="Times New Roman" w:hAnsi="Times New Roman" w:eastAsia="微软雅黑"/>
                <w:b w:val="0"/>
                <w:color w:val="000000"/>
                <w:sz w:val="19"/>
              </w:rPr>
              <w:t>屏幕议题尚未进入。</w:t>
            </w:r>
          </w:p>
        </w:tc>
      </w:tr>
      <w:tr w14:paraId="28297C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05CAF916">
            <w:pPr>
              <w:spacing w:after="40" w:line="259" w:lineRule="auto"/>
            </w:pPr>
            <w:r>
              <w:rPr>
                <w:rFonts w:ascii="Times New Roman" w:hAnsi="Times New Roman" w:eastAsia="微软雅黑"/>
                <w:b w:val="0"/>
                <w:color w:val="000000"/>
                <w:sz w:val="19"/>
              </w:rPr>
              <w:t>C</w:t>
            </w:r>
          </w:p>
        </w:tc>
        <w:tc>
          <w:tcPr>
            <w:tcW w:w="1224" w:type="dxa"/>
          </w:tcPr>
          <w:p w14:paraId="157AA4FA">
            <w:pPr>
              <w:spacing w:after="40" w:line="259" w:lineRule="auto"/>
            </w:pPr>
            <w:r>
              <w:rPr>
                <w:rFonts w:ascii="Times New Roman" w:hAnsi="Times New Roman" w:eastAsia="微软雅黑"/>
                <w:b w:val="0"/>
                <w:color w:val="000000"/>
                <w:sz w:val="19"/>
              </w:rPr>
              <w:t>不能选</w:t>
            </w:r>
          </w:p>
        </w:tc>
        <w:tc>
          <w:tcPr>
            <w:tcW w:w="7344" w:type="dxa"/>
          </w:tcPr>
          <w:p w14:paraId="393F825A">
            <w:pPr>
              <w:spacing w:after="40" w:line="259" w:lineRule="auto"/>
            </w:pPr>
            <w:r>
              <w:rPr>
                <w:rFonts w:ascii="Times New Roman" w:hAnsi="Times New Roman" w:eastAsia="微软雅黑"/>
                <w:b w:val="0"/>
                <w:color w:val="000000"/>
                <w:sz w:val="19"/>
              </w:rPr>
              <w:t>国家例证无法反驳 AI 误解。</w:t>
            </w:r>
          </w:p>
        </w:tc>
      </w:tr>
      <w:tr w14:paraId="1F948DE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69C6EF67">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672E3B5F">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4949DC0">
            <w:pPr>
              <w:spacing w:after="40" w:line="259" w:lineRule="auto"/>
            </w:pPr>
            <w:r>
              <w:rPr>
                <w:rFonts w:ascii="Times New Roman" w:hAnsi="Times New Roman" w:eastAsia="微软雅黑"/>
                <w:b w:val="0"/>
                <w:color w:val="000000"/>
                <w:sz w:val="19"/>
              </w:rPr>
              <w:t>重复提出观点会造成“观点—观点”断裂。</w:t>
            </w:r>
          </w:p>
        </w:tc>
      </w:tr>
      <w:tr w14:paraId="2345343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3F37056F">
            <w:pPr>
              <w:spacing w:after="40" w:line="259" w:lineRule="auto"/>
            </w:pPr>
            <w:r>
              <w:rPr>
                <w:rFonts w:ascii="Times New Roman" w:hAnsi="Times New Roman" w:eastAsia="微软雅黑"/>
                <w:b w:val="0"/>
                <w:color w:val="000000"/>
                <w:sz w:val="19"/>
              </w:rPr>
              <w:t>E</w:t>
            </w:r>
          </w:p>
        </w:tc>
        <w:tc>
          <w:tcPr>
            <w:tcW w:w="1224" w:type="dxa"/>
          </w:tcPr>
          <w:p w14:paraId="7E8B1819">
            <w:pPr>
              <w:spacing w:after="40" w:line="259" w:lineRule="auto"/>
            </w:pPr>
            <w:r>
              <w:rPr>
                <w:rFonts w:ascii="Times New Roman" w:hAnsi="Times New Roman" w:eastAsia="微软雅黑"/>
                <w:b w:val="0"/>
                <w:color w:val="000000"/>
                <w:sz w:val="19"/>
              </w:rPr>
              <w:t>不能选</w:t>
            </w:r>
          </w:p>
        </w:tc>
        <w:tc>
          <w:tcPr>
            <w:tcW w:w="7344" w:type="dxa"/>
          </w:tcPr>
          <w:p w14:paraId="17639268">
            <w:pPr>
              <w:spacing w:after="40" w:line="259" w:lineRule="auto"/>
            </w:pPr>
            <w:r>
              <w:rPr>
                <w:rFonts w:ascii="Times New Roman" w:hAnsi="Times New Roman" w:eastAsia="微软雅黑"/>
                <w:b w:val="0"/>
                <w:color w:val="000000"/>
                <w:sz w:val="19"/>
              </w:rPr>
              <w:t>疫情话题与本段反驳链条无关。</w:t>
            </w:r>
          </w:p>
        </w:tc>
      </w:tr>
      <w:tr w14:paraId="7E85199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5BAE78B0">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15056C3A">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0745F582">
            <w:pPr>
              <w:spacing w:after="40" w:line="259" w:lineRule="auto"/>
            </w:pPr>
            <w:r>
              <w:rPr>
                <w:rFonts w:ascii="Times New Roman" w:hAnsi="Times New Roman" w:eastAsia="微软雅黑"/>
                <w:b w:val="0"/>
                <w:color w:val="000000"/>
                <w:sz w:val="19"/>
              </w:rPr>
              <w:t>回指诱惑性观点，并开启反驳。</w:t>
            </w:r>
          </w:p>
        </w:tc>
      </w:tr>
      <w:tr w14:paraId="0C407C8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07563110">
            <w:pPr>
              <w:spacing w:after="40" w:line="259" w:lineRule="auto"/>
            </w:pPr>
            <w:r>
              <w:rPr>
                <w:rFonts w:ascii="Times New Roman" w:hAnsi="Times New Roman" w:eastAsia="微软雅黑"/>
                <w:b w:val="0"/>
                <w:color w:val="000000"/>
                <w:sz w:val="19"/>
              </w:rPr>
              <w:t>G</w:t>
            </w:r>
          </w:p>
        </w:tc>
        <w:tc>
          <w:tcPr>
            <w:tcW w:w="1224" w:type="dxa"/>
          </w:tcPr>
          <w:p w14:paraId="462FB8BD">
            <w:pPr>
              <w:spacing w:after="40" w:line="259" w:lineRule="auto"/>
            </w:pPr>
            <w:r>
              <w:rPr>
                <w:rFonts w:ascii="Times New Roman" w:hAnsi="Times New Roman" w:eastAsia="微软雅黑"/>
                <w:b w:val="0"/>
                <w:color w:val="000000"/>
                <w:sz w:val="19"/>
              </w:rPr>
              <w:t>不能选</w:t>
            </w:r>
          </w:p>
        </w:tc>
        <w:tc>
          <w:tcPr>
            <w:tcW w:w="7344" w:type="dxa"/>
          </w:tcPr>
          <w:p w14:paraId="301C6825">
            <w:pPr>
              <w:spacing w:after="40" w:line="259" w:lineRule="auto"/>
            </w:pPr>
            <w:r>
              <w:rPr>
                <w:rFonts w:ascii="Times New Roman" w:hAnsi="Times New Roman" w:eastAsia="微软雅黑"/>
                <w:b w:val="0"/>
                <w:color w:val="000000"/>
                <w:sz w:val="19"/>
              </w:rPr>
              <w:t>经费主张与 AI 反驳无关。</w:t>
            </w:r>
          </w:p>
        </w:tc>
      </w:tr>
    </w:tbl>
    <w:p w14:paraId="7240CC92">
      <w:pPr>
        <w:spacing w:after="160" w:line="276" w:lineRule="auto"/>
      </w:pPr>
    </w:p>
    <w:p w14:paraId="16D49AF3">
      <w:pPr>
        <w:keepNext/>
        <w:spacing w:before="200" w:after="120"/>
      </w:pPr>
      <w:r>
        <w:rPr>
          <w:rFonts w:ascii="Times New Roman" w:hAnsi="Times New Roman" w:eastAsia="微软雅黑"/>
          <w:b/>
          <w:color w:val="000000"/>
          <w:sz w:val="23"/>
        </w:rPr>
        <w:t>44.【答案】B</w:t>
      </w:r>
    </w:p>
    <w:p w14:paraId="12B9697A">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第五段段中；空格前写屏幕分散注意力，空格后写多国禁止手机。</w:t>
      </w:r>
    </w:p>
    <w:p w14:paraId="66860DD2">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前句给出 screens 干扰学习和阅读的证据，并出现“distraction”和“focus”的因果链。【B】的“Limiting screens”承接该证据，“therefore a prudent first step”又被后文“ban mobile phones; more should follow”具体化。</w:t>
      </w:r>
    </w:p>
    <w:p w14:paraId="7375D64F">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362C140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2C97BFDD">
            <w:pPr>
              <w:spacing w:after="40"/>
            </w:pPr>
            <w:r>
              <w:rPr>
                <w:rFonts w:ascii="Times New Roman" w:hAnsi="Times New Roman" w:eastAsia="微软雅黑"/>
                <w:b/>
                <w:color w:val="FFFFFF"/>
                <w:sz w:val="20"/>
              </w:rPr>
              <w:t>选项</w:t>
            </w:r>
          </w:p>
        </w:tc>
        <w:tc>
          <w:tcPr>
            <w:tcW w:w="1224" w:type="dxa"/>
            <w:shd w:val="clear" w:color="auto" w:fill="1F4E79"/>
          </w:tcPr>
          <w:p w14:paraId="29C2A9C5">
            <w:pPr>
              <w:spacing w:after="40"/>
            </w:pPr>
            <w:r>
              <w:rPr>
                <w:rFonts w:ascii="Times New Roman" w:hAnsi="Times New Roman" w:eastAsia="微软雅黑"/>
                <w:b/>
                <w:color w:val="FFFFFF"/>
                <w:sz w:val="20"/>
              </w:rPr>
              <w:t>判断</w:t>
            </w:r>
          </w:p>
        </w:tc>
        <w:tc>
          <w:tcPr>
            <w:tcW w:w="7344" w:type="dxa"/>
            <w:shd w:val="clear" w:color="auto" w:fill="1F4E79"/>
          </w:tcPr>
          <w:p w14:paraId="115DC114">
            <w:pPr>
              <w:spacing w:after="40"/>
            </w:pPr>
            <w:r>
              <w:rPr>
                <w:rFonts w:ascii="Times New Roman" w:hAnsi="Times New Roman" w:eastAsia="微软雅黑"/>
                <w:b/>
                <w:color w:val="FFFFFF"/>
                <w:sz w:val="20"/>
              </w:rPr>
              <w:t>理由</w:t>
            </w:r>
          </w:p>
        </w:tc>
      </w:tr>
      <w:tr w14:paraId="0745887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1A7600B6">
            <w:pPr>
              <w:spacing w:after="40" w:line="259" w:lineRule="auto"/>
            </w:pPr>
            <w:r>
              <w:rPr>
                <w:rFonts w:ascii="Times New Roman" w:hAnsi="Times New Roman" w:eastAsia="微软雅黑"/>
                <w:b w:val="0"/>
                <w:color w:val="000000"/>
                <w:sz w:val="19"/>
              </w:rPr>
              <w:t>A</w:t>
            </w:r>
          </w:p>
        </w:tc>
        <w:tc>
          <w:tcPr>
            <w:tcW w:w="1224" w:type="dxa"/>
          </w:tcPr>
          <w:p w14:paraId="4B8067F8">
            <w:pPr>
              <w:spacing w:after="40" w:line="259" w:lineRule="auto"/>
            </w:pPr>
            <w:r>
              <w:rPr>
                <w:rFonts w:ascii="Times New Roman" w:hAnsi="Times New Roman" w:eastAsia="微软雅黑"/>
                <w:b w:val="0"/>
                <w:color w:val="000000"/>
                <w:sz w:val="19"/>
              </w:rPr>
              <w:t>不能选</w:t>
            </w:r>
          </w:p>
        </w:tc>
        <w:tc>
          <w:tcPr>
            <w:tcW w:w="7344" w:type="dxa"/>
          </w:tcPr>
          <w:p w14:paraId="06DE0C27">
            <w:pPr>
              <w:spacing w:after="40" w:line="259" w:lineRule="auto"/>
            </w:pPr>
            <w:r>
              <w:rPr>
                <w:rFonts w:ascii="Times New Roman" w:hAnsi="Times New Roman" w:eastAsia="微软雅黑"/>
                <w:b w:val="0"/>
                <w:color w:val="000000"/>
                <w:sz w:val="19"/>
              </w:rPr>
              <w:t>把心理健康担忧推向降低要求，脱离本段证据。</w:t>
            </w:r>
          </w:p>
        </w:tc>
      </w:tr>
      <w:tr w14:paraId="49EAA09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4B6A56CE">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21D26B2E">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347871B2">
            <w:pPr>
              <w:spacing w:after="40" w:line="259" w:lineRule="auto"/>
            </w:pPr>
            <w:r>
              <w:rPr>
                <w:rFonts w:ascii="Times New Roman" w:hAnsi="Times New Roman" w:eastAsia="微软雅黑"/>
                <w:b w:val="0"/>
                <w:color w:val="000000"/>
                <w:sz w:val="19"/>
              </w:rPr>
              <w:t>由屏幕干扰推出限制屏幕的措施。</w:t>
            </w:r>
          </w:p>
        </w:tc>
      </w:tr>
      <w:tr w14:paraId="42D48C4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12715DA">
            <w:pPr>
              <w:spacing w:after="40" w:line="259" w:lineRule="auto"/>
            </w:pPr>
            <w:r>
              <w:rPr>
                <w:rFonts w:ascii="Times New Roman" w:hAnsi="Times New Roman" w:eastAsia="微软雅黑"/>
                <w:b w:val="0"/>
                <w:color w:val="000000"/>
                <w:sz w:val="19"/>
              </w:rPr>
              <w:t>C</w:t>
            </w:r>
          </w:p>
        </w:tc>
        <w:tc>
          <w:tcPr>
            <w:tcW w:w="1224" w:type="dxa"/>
          </w:tcPr>
          <w:p w14:paraId="389C0B46">
            <w:pPr>
              <w:spacing w:after="40" w:line="259" w:lineRule="auto"/>
            </w:pPr>
            <w:r>
              <w:rPr>
                <w:rFonts w:ascii="Times New Roman" w:hAnsi="Times New Roman" w:eastAsia="微软雅黑"/>
                <w:b w:val="0"/>
                <w:color w:val="000000"/>
                <w:sz w:val="19"/>
              </w:rPr>
              <w:t>不能选</w:t>
            </w:r>
          </w:p>
        </w:tc>
        <w:tc>
          <w:tcPr>
            <w:tcW w:w="7344" w:type="dxa"/>
          </w:tcPr>
          <w:p w14:paraId="7AED979E">
            <w:pPr>
              <w:spacing w:after="40" w:line="259" w:lineRule="auto"/>
            </w:pPr>
            <w:r>
              <w:rPr>
                <w:rFonts w:ascii="Times New Roman" w:hAnsi="Times New Roman" w:eastAsia="微软雅黑"/>
                <w:b w:val="0"/>
                <w:color w:val="000000"/>
                <w:sz w:val="19"/>
              </w:rPr>
              <w:t>国家回升例证应后置。</w:t>
            </w:r>
          </w:p>
        </w:tc>
      </w:tr>
      <w:tr w14:paraId="621DAD8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10EF6215">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6A4C8A87">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7AEBAE9">
            <w:pPr>
              <w:spacing w:after="40" w:line="259" w:lineRule="auto"/>
            </w:pPr>
            <w:r>
              <w:rPr>
                <w:rFonts w:ascii="Times New Roman" w:hAnsi="Times New Roman" w:eastAsia="微软雅黑"/>
                <w:b w:val="0"/>
                <w:color w:val="000000"/>
                <w:sz w:val="19"/>
              </w:rPr>
              <w:t>AI 话题已在前两段解决。</w:t>
            </w:r>
          </w:p>
        </w:tc>
      </w:tr>
      <w:tr w14:paraId="1D922CC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263C1082">
            <w:pPr>
              <w:spacing w:after="40" w:line="259" w:lineRule="auto"/>
            </w:pPr>
            <w:r>
              <w:rPr>
                <w:rFonts w:ascii="Times New Roman" w:hAnsi="Times New Roman" w:eastAsia="微软雅黑"/>
                <w:b w:val="0"/>
                <w:color w:val="000000"/>
                <w:sz w:val="19"/>
              </w:rPr>
              <w:t>E</w:t>
            </w:r>
          </w:p>
        </w:tc>
        <w:tc>
          <w:tcPr>
            <w:tcW w:w="1224" w:type="dxa"/>
          </w:tcPr>
          <w:p w14:paraId="279990A8">
            <w:pPr>
              <w:spacing w:after="40" w:line="259" w:lineRule="auto"/>
            </w:pPr>
            <w:r>
              <w:rPr>
                <w:rFonts w:ascii="Times New Roman" w:hAnsi="Times New Roman" w:eastAsia="微软雅黑"/>
                <w:b w:val="0"/>
                <w:color w:val="000000"/>
                <w:sz w:val="19"/>
              </w:rPr>
              <w:t>不能选</w:t>
            </w:r>
          </w:p>
        </w:tc>
        <w:tc>
          <w:tcPr>
            <w:tcW w:w="7344" w:type="dxa"/>
          </w:tcPr>
          <w:p w14:paraId="437D1AD5">
            <w:pPr>
              <w:spacing w:after="40" w:line="259" w:lineRule="auto"/>
            </w:pPr>
            <w:r>
              <w:rPr>
                <w:rFonts w:ascii="Times New Roman" w:hAnsi="Times New Roman" w:eastAsia="微软雅黑"/>
                <w:b w:val="0"/>
                <w:color w:val="000000"/>
                <w:sz w:val="19"/>
              </w:rPr>
              <w:t>疫情解释与本段屏幕因果链无关。</w:t>
            </w:r>
          </w:p>
        </w:tc>
      </w:tr>
      <w:tr w14:paraId="145ACF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01816A45">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2C3B17A5">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1B3A791">
            <w:pPr>
              <w:spacing w:after="40" w:line="259" w:lineRule="auto"/>
            </w:pPr>
            <w:r>
              <w:rPr>
                <w:rFonts w:ascii="Times New Roman" w:hAnsi="Times New Roman" w:eastAsia="微软雅黑"/>
                <w:b w:val="0"/>
                <w:color w:val="000000"/>
                <w:sz w:val="19"/>
              </w:rPr>
              <w:t>此处没有需要反驳的新观点。</w:t>
            </w:r>
          </w:p>
        </w:tc>
      </w:tr>
      <w:tr w14:paraId="115D300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4C74C172">
            <w:pPr>
              <w:spacing w:after="40" w:line="259" w:lineRule="auto"/>
            </w:pPr>
            <w:r>
              <w:rPr>
                <w:rFonts w:ascii="Times New Roman" w:hAnsi="Times New Roman" w:eastAsia="微软雅黑"/>
                <w:b w:val="0"/>
                <w:color w:val="000000"/>
                <w:sz w:val="19"/>
              </w:rPr>
              <w:t>G</w:t>
            </w:r>
          </w:p>
        </w:tc>
        <w:tc>
          <w:tcPr>
            <w:tcW w:w="1224" w:type="dxa"/>
          </w:tcPr>
          <w:p w14:paraId="72591F51">
            <w:pPr>
              <w:spacing w:after="40" w:line="259" w:lineRule="auto"/>
            </w:pPr>
            <w:r>
              <w:rPr>
                <w:rFonts w:ascii="Times New Roman" w:hAnsi="Times New Roman" w:eastAsia="微软雅黑"/>
                <w:b w:val="0"/>
                <w:color w:val="000000"/>
                <w:sz w:val="19"/>
              </w:rPr>
              <w:t>不能选</w:t>
            </w:r>
          </w:p>
        </w:tc>
        <w:tc>
          <w:tcPr>
            <w:tcW w:w="7344" w:type="dxa"/>
          </w:tcPr>
          <w:p w14:paraId="5F72D644">
            <w:pPr>
              <w:spacing w:after="40" w:line="259" w:lineRule="auto"/>
            </w:pPr>
            <w:r>
              <w:rPr>
                <w:rFonts w:ascii="Times New Roman" w:hAnsi="Times New Roman" w:eastAsia="微软雅黑"/>
                <w:b w:val="0"/>
                <w:color w:val="000000"/>
                <w:sz w:val="19"/>
              </w:rPr>
              <w:t>后文明确说单纯增加资金证据不足。</w:t>
            </w:r>
          </w:p>
        </w:tc>
      </w:tr>
    </w:tbl>
    <w:p w14:paraId="288A9BDF">
      <w:pPr>
        <w:spacing w:after="160" w:line="276" w:lineRule="auto"/>
      </w:pPr>
    </w:p>
    <w:p w14:paraId="1CB864A2">
      <w:pPr>
        <w:keepNext/>
        <w:spacing w:before="200" w:after="120"/>
      </w:pPr>
      <w:r>
        <w:rPr>
          <w:rFonts w:ascii="Times New Roman" w:hAnsi="Times New Roman" w:eastAsia="微软雅黑"/>
          <w:b/>
          <w:color w:val="000000"/>
          <w:sz w:val="23"/>
        </w:rPr>
        <w:t>45.【答案】C</w:t>
      </w:r>
    </w:p>
    <w:p w14:paraId="61CA76F6">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第八段段首；空格后以“Britain is one”举例。</w:t>
      </w:r>
    </w:p>
    <w:p w14:paraId="73B598E6">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【C】先说“some countries”能通过严格常规逆转下滑，后句“Britain is one”立即给出实例；随后 rigorous exams、tough inspections 和 fact-filled curriculums 正是“rigorous routines”的具体化。</w:t>
      </w:r>
    </w:p>
    <w:p w14:paraId="684EFD1D">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5AD204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104D1953">
            <w:pPr>
              <w:spacing w:after="40"/>
            </w:pPr>
            <w:r>
              <w:rPr>
                <w:rFonts w:ascii="Times New Roman" w:hAnsi="Times New Roman" w:eastAsia="微软雅黑"/>
                <w:b/>
                <w:color w:val="FFFFFF"/>
                <w:sz w:val="20"/>
              </w:rPr>
              <w:t>选项</w:t>
            </w:r>
          </w:p>
        </w:tc>
        <w:tc>
          <w:tcPr>
            <w:tcW w:w="1224" w:type="dxa"/>
            <w:shd w:val="clear" w:color="auto" w:fill="1F4E79"/>
          </w:tcPr>
          <w:p w14:paraId="653DA62A">
            <w:pPr>
              <w:spacing w:after="40"/>
            </w:pPr>
            <w:r>
              <w:rPr>
                <w:rFonts w:ascii="Times New Roman" w:hAnsi="Times New Roman" w:eastAsia="微软雅黑"/>
                <w:b/>
                <w:color w:val="FFFFFF"/>
                <w:sz w:val="20"/>
              </w:rPr>
              <w:t>判断</w:t>
            </w:r>
          </w:p>
        </w:tc>
        <w:tc>
          <w:tcPr>
            <w:tcW w:w="7344" w:type="dxa"/>
            <w:shd w:val="clear" w:color="auto" w:fill="1F4E79"/>
          </w:tcPr>
          <w:p w14:paraId="1E69D14A">
            <w:pPr>
              <w:spacing w:after="40"/>
            </w:pPr>
            <w:r>
              <w:rPr>
                <w:rFonts w:ascii="Times New Roman" w:hAnsi="Times New Roman" w:eastAsia="微软雅黑"/>
                <w:b/>
                <w:color w:val="FFFFFF"/>
                <w:sz w:val="20"/>
              </w:rPr>
              <w:t>理由</w:t>
            </w:r>
          </w:p>
        </w:tc>
      </w:tr>
      <w:tr w14:paraId="6ECACA9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550049A6">
            <w:pPr>
              <w:spacing w:after="40" w:line="259" w:lineRule="auto"/>
            </w:pPr>
            <w:r>
              <w:rPr>
                <w:rFonts w:ascii="Times New Roman" w:hAnsi="Times New Roman" w:eastAsia="微软雅黑"/>
                <w:b w:val="0"/>
                <w:color w:val="000000"/>
                <w:sz w:val="19"/>
              </w:rPr>
              <w:t>A</w:t>
            </w:r>
          </w:p>
        </w:tc>
        <w:tc>
          <w:tcPr>
            <w:tcW w:w="1224" w:type="dxa"/>
          </w:tcPr>
          <w:p w14:paraId="28D5191C">
            <w:pPr>
              <w:spacing w:after="40" w:line="259" w:lineRule="auto"/>
            </w:pPr>
            <w:r>
              <w:rPr>
                <w:rFonts w:ascii="Times New Roman" w:hAnsi="Times New Roman" w:eastAsia="微软雅黑"/>
                <w:b w:val="0"/>
                <w:color w:val="000000"/>
                <w:sz w:val="19"/>
              </w:rPr>
              <w:t>不能选</w:t>
            </w:r>
          </w:p>
        </w:tc>
        <w:tc>
          <w:tcPr>
            <w:tcW w:w="7344" w:type="dxa"/>
          </w:tcPr>
          <w:p w14:paraId="625FA74D">
            <w:pPr>
              <w:spacing w:after="40" w:line="259" w:lineRule="auto"/>
            </w:pPr>
            <w:r>
              <w:rPr>
                <w:rFonts w:ascii="Times New Roman" w:hAnsi="Times New Roman" w:eastAsia="微软雅黑"/>
                <w:b w:val="0"/>
                <w:color w:val="000000"/>
                <w:sz w:val="19"/>
              </w:rPr>
              <w:t>放松评分与英国严格考试和检查的方向相反。</w:t>
            </w:r>
          </w:p>
        </w:tc>
      </w:tr>
      <w:tr w14:paraId="4EA4DFF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6510E2CB">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28D911E8">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CDFA379">
            <w:pPr>
              <w:spacing w:after="40" w:line="259" w:lineRule="auto"/>
            </w:pPr>
            <w:r>
              <w:rPr>
                <w:rFonts w:ascii="Times New Roman" w:hAnsi="Times New Roman" w:eastAsia="微软雅黑"/>
                <w:b w:val="0"/>
                <w:color w:val="000000"/>
                <w:sz w:val="19"/>
              </w:rPr>
              <w:t>屏幕措施不是本段Britain例证的中心。</w:t>
            </w:r>
          </w:p>
        </w:tc>
      </w:tr>
      <w:tr w14:paraId="63809E3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5C90E255">
            <w:pPr>
              <w:spacing w:after="40" w:line="259" w:lineRule="auto"/>
            </w:pPr>
            <w:r>
              <w:rPr>
                <w:rFonts w:ascii="Times New Roman" w:hAnsi="Times New Roman" w:eastAsia="微软雅黑"/>
                <w:b w:val="0"/>
                <w:color w:val="000000"/>
                <w:sz w:val="19"/>
              </w:rPr>
              <w:t>C</w:t>
            </w:r>
          </w:p>
        </w:tc>
        <w:tc>
          <w:tcPr>
            <w:tcW w:w="1224" w:type="dxa"/>
          </w:tcPr>
          <w:p w14:paraId="61117604">
            <w:pPr>
              <w:spacing w:after="40" w:line="259" w:lineRule="auto"/>
            </w:pPr>
            <w:r>
              <w:rPr>
                <w:rFonts w:ascii="Times New Roman" w:hAnsi="Times New Roman" w:eastAsia="微软雅黑"/>
                <w:b w:val="0"/>
                <w:color w:val="000000"/>
                <w:sz w:val="19"/>
              </w:rPr>
              <w:t>正确</w:t>
            </w:r>
          </w:p>
        </w:tc>
        <w:tc>
          <w:tcPr>
            <w:tcW w:w="7344" w:type="dxa"/>
          </w:tcPr>
          <w:p w14:paraId="568A2441">
            <w:pPr>
              <w:spacing w:after="40" w:line="259" w:lineRule="auto"/>
            </w:pPr>
            <w:r>
              <w:rPr>
                <w:rFonts w:ascii="Times New Roman" w:hAnsi="Times New Roman" w:eastAsia="微软雅黑"/>
                <w:b w:val="0"/>
                <w:color w:val="000000"/>
                <w:sz w:val="19"/>
              </w:rPr>
              <w:t>总起回升可能性，并被“Britain is one”承接。</w:t>
            </w:r>
          </w:p>
        </w:tc>
      </w:tr>
      <w:tr w14:paraId="7E64175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076877B2">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5B9F1B8D">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396A13E">
            <w:pPr>
              <w:spacing w:after="40" w:line="259" w:lineRule="auto"/>
            </w:pPr>
            <w:r>
              <w:rPr>
                <w:rFonts w:ascii="Times New Roman" w:hAnsi="Times New Roman" w:eastAsia="微软雅黑"/>
                <w:b w:val="0"/>
                <w:color w:val="000000"/>
                <w:sz w:val="19"/>
              </w:rPr>
              <w:t>AI 诱惑与国家改革例证无关。</w:t>
            </w:r>
          </w:p>
        </w:tc>
      </w:tr>
      <w:tr w14:paraId="53F3734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ACFCD86">
            <w:pPr>
              <w:spacing w:after="40" w:line="259" w:lineRule="auto"/>
            </w:pPr>
            <w:r>
              <w:rPr>
                <w:rFonts w:ascii="Times New Roman" w:hAnsi="Times New Roman" w:eastAsia="微软雅黑"/>
                <w:b w:val="0"/>
                <w:color w:val="000000"/>
                <w:sz w:val="19"/>
              </w:rPr>
              <w:t>E</w:t>
            </w:r>
          </w:p>
        </w:tc>
        <w:tc>
          <w:tcPr>
            <w:tcW w:w="1224" w:type="dxa"/>
          </w:tcPr>
          <w:p w14:paraId="4522ECBD">
            <w:pPr>
              <w:spacing w:after="40" w:line="259" w:lineRule="auto"/>
            </w:pPr>
            <w:r>
              <w:rPr>
                <w:rFonts w:ascii="Times New Roman" w:hAnsi="Times New Roman" w:eastAsia="微软雅黑"/>
                <w:b w:val="0"/>
                <w:color w:val="000000"/>
                <w:sz w:val="19"/>
              </w:rPr>
              <w:t>不能选</w:t>
            </w:r>
          </w:p>
        </w:tc>
        <w:tc>
          <w:tcPr>
            <w:tcW w:w="7344" w:type="dxa"/>
          </w:tcPr>
          <w:p w14:paraId="228AA706">
            <w:pPr>
              <w:spacing w:after="40" w:line="259" w:lineRule="auto"/>
            </w:pPr>
            <w:r>
              <w:rPr>
                <w:rFonts w:ascii="Times New Roman" w:hAnsi="Times New Roman" w:eastAsia="微软雅黑"/>
                <w:b w:val="0"/>
                <w:color w:val="000000"/>
                <w:sz w:val="19"/>
              </w:rPr>
              <w:t>疫情话题已经完成，不能回跳。</w:t>
            </w:r>
          </w:p>
        </w:tc>
      </w:tr>
      <w:tr w14:paraId="474DC00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03313A3D">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014A9985">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C4666C2">
            <w:pPr>
              <w:spacing w:after="40" w:line="259" w:lineRule="auto"/>
            </w:pPr>
            <w:r>
              <w:rPr>
                <w:rFonts w:ascii="Times New Roman" w:hAnsi="Times New Roman" w:eastAsia="微软雅黑"/>
                <w:b w:val="0"/>
                <w:color w:val="000000"/>
                <w:sz w:val="19"/>
              </w:rPr>
              <w:t>此处没有待反驳的观点。</w:t>
            </w:r>
          </w:p>
        </w:tc>
      </w:tr>
      <w:tr w14:paraId="6D121F2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9CBBA60">
            <w:pPr>
              <w:spacing w:after="40" w:line="259" w:lineRule="auto"/>
            </w:pPr>
            <w:r>
              <w:rPr>
                <w:rFonts w:ascii="Times New Roman" w:hAnsi="Times New Roman" w:eastAsia="微软雅黑"/>
                <w:b w:val="0"/>
                <w:color w:val="000000"/>
                <w:sz w:val="19"/>
              </w:rPr>
              <w:t>G</w:t>
            </w:r>
          </w:p>
        </w:tc>
        <w:tc>
          <w:tcPr>
            <w:tcW w:w="1224" w:type="dxa"/>
          </w:tcPr>
          <w:p w14:paraId="5025D24D">
            <w:pPr>
              <w:spacing w:after="40" w:line="259" w:lineRule="auto"/>
            </w:pPr>
            <w:r>
              <w:rPr>
                <w:rFonts w:ascii="Times New Roman" w:hAnsi="Times New Roman" w:eastAsia="微软雅黑"/>
                <w:b w:val="0"/>
                <w:color w:val="000000"/>
                <w:sz w:val="19"/>
              </w:rPr>
              <w:t>不能选</w:t>
            </w:r>
          </w:p>
        </w:tc>
        <w:tc>
          <w:tcPr>
            <w:tcW w:w="7344" w:type="dxa"/>
          </w:tcPr>
          <w:p w14:paraId="48F1F4B4">
            <w:pPr>
              <w:spacing w:after="40" w:line="259" w:lineRule="auto"/>
            </w:pPr>
            <w:r>
              <w:rPr>
                <w:rFonts w:ascii="Times New Roman" w:hAnsi="Times New Roman" w:eastAsia="微软雅黑"/>
                <w:b w:val="0"/>
                <w:color w:val="000000"/>
                <w:sz w:val="19"/>
              </w:rPr>
              <w:t>增加经费与前段证据不足的判断冲突。</w:t>
            </w:r>
          </w:p>
        </w:tc>
      </w:tr>
    </w:tbl>
    <w:p w14:paraId="4C0B016E">
      <w:pPr>
        <w:spacing w:after="160" w:line="276" w:lineRule="auto"/>
      </w:pPr>
    </w:p>
    <w:p w14:paraId="6791BEC9">
      <w:pPr>
        <w:keepNext/>
        <w:spacing w:before="200" w:after="120"/>
      </w:pPr>
      <w:r>
        <w:rPr>
          <w:rFonts w:ascii="Times New Roman" w:hAnsi="Times New Roman" w:eastAsia="微软雅黑"/>
          <w:b/>
          <w:color w:val="000000"/>
          <w:sz w:val="24"/>
        </w:rPr>
        <w:t>干扰项设置</w:t>
      </w:r>
    </w:p>
    <w:p w14:paraId="48095D3D">
      <w:pPr>
        <w:spacing w:after="160" w:line="276" w:lineRule="auto"/>
        <w:rPr>
          <w:rFonts w:ascii="Times New Roman" w:hAnsi="Times New Roman" w:eastAsia="微软雅黑"/>
          <w:b w:val="0"/>
          <w:color w:val="000000"/>
          <w:sz w:val="21"/>
        </w:rPr>
      </w:pPr>
      <w:r>
        <w:rPr>
          <w:rFonts w:ascii="Times New Roman" w:hAnsi="Times New Roman" w:eastAsia="微软雅黑"/>
          <w:b w:val="0"/>
          <w:color w:val="000000"/>
          <w:sz w:val="21"/>
        </w:rPr>
        <w:t>本题主要使用逻辑反转、措施错位和话题回跳。【A】【G】利用教育改革的常见思路设置措施陷阱，但方向与原文相反；【D】【F】构成一组“诱因—反驳”，若单独放入空格会造成回指断裂；【E】利用首段关键词诱导回跳，但无法服务后文。</w:t>
      </w:r>
    </w:p>
    <w:p w14:paraId="7BDD3249">
      <w:pPr>
        <w:spacing w:after="160" w:line="276" w:lineRule="auto"/>
        <w:rPr>
          <w:rFonts w:ascii="Times New Roman" w:hAnsi="Times New Roman" w:eastAsia="微软雅黑"/>
          <w:b w:val="0"/>
          <w:color w:val="000000"/>
          <w:sz w:val="21"/>
        </w:rPr>
      </w:pPr>
    </w:p>
    <w:p w14:paraId="73A56118">
      <w:pPr>
        <w:jc w:val="center"/>
        <w:rPr>
          <w:color w:val="969696"/>
        </w:rPr>
      </w:pPr>
      <w:r>
        <w:rPr>
          <w:color w:val="969696"/>
        </w:rPr>
        <w:t>— — — — — — — — — —</w:t>
      </w:r>
    </w:p>
    <w:p w14:paraId="7AD80686">
      <w:pPr>
        <w:jc w:val="both"/>
        <w:rPr>
          <w:color w:val="969696"/>
        </w:rPr>
      </w:pPr>
    </w:p>
    <w:p w14:paraId="1E9BE640">
      <w:pPr>
        <w:rPr>
          <w:rFonts w:hint="default"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本文档由我们自研的考研英语新题型大模型生成。该模型基于近10年考研英语真题进行训练。我们会根据同学们的反馈持续优化模型能力。目前是在测试阶段，该题型仅提供到12月底。</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7666BFF">
      <w:pPr>
        <w:rPr>
          <w:rFonts w:ascii="Times New Roman" w:hAnsi="Times New Roman" w:eastAsia="微软雅黑"/>
          <w:b w:val="0"/>
          <w:color w:val="000000"/>
          <w:sz w:val="21"/>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bookmarkStart w:id="0" w:name="_GoBack"/>
      <w:bookmarkEnd w:id="0"/>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4E01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2540</Words>
  <Characters>6310</Characters>
  <Lines>0</Lines>
  <Paragraphs>0</Paragraphs>
  <TotalTime>0</TotalTime>
  <ScaleCrop>false</ScaleCrop>
  <LinksUpToDate>false</LinksUpToDate>
  <CharactersWithSpaces>7226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2026-09-13T15:08:32Z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61699A87D767476796CE1307255A95CE_12</vt:lpwstr>
  </property>
</Properties>
</file>