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DD076">
      <w:pPr>
        <w:keepNext/>
        <w:spacing w:before="200" w:after="120"/>
      </w:pPr>
      <w:r>
        <w:rPr>
          <w:rFonts w:ascii="Times New Roman" w:hAnsi="Times New Roman" w:eastAsia="微软雅黑"/>
          <w:b/>
          <w:color w:val="000000"/>
          <w:sz w:val="26"/>
        </w:rPr>
        <w:t>Part B</w:t>
      </w:r>
    </w:p>
    <w:p w14:paraId="2C2954C8">
      <w:pPr>
        <w:spacing w:after="60" w:line="276" w:lineRule="auto"/>
      </w:pPr>
      <w:r>
        <w:rPr>
          <w:rFonts w:ascii="Times New Roman" w:hAnsi="Times New Roman" w:eastAsia="微软雅黑"/>
          <w:b/>
          <w:color w:val="000000"/>
          <w:sz w:val="21"/>
        </w:rPr>
        <w:t>Directions:</w:t>
      </w:r>
    </w:p>
    <w:p w14:paraId="0241521F">
      <w:pPr>
        <w:spacing w:after="240" w:line="276" w:lineRule="auto"/>
      </w:pPr>
      <w:r>
        <w:rPr>
          <w:rFonts w:ascii="Times New Roman" w:hAnsi="Times New Roman" w:eastAsia="微软雅黑"/>
          <w:b w:val="0"/>
          <w:color w:val="000000"/>
          <w:sz w:val="21"/>
        </w:rPr>
        <w:t>The following paragraphs are given in a wrong order. For Questions 41-45, you are required to reorganize these paragraphs into a coherent text by choosing from the list A-G and filling them into the numbered boxes. Paragraphs B and F have been correctly placed. Mark your answers on the ANSWER SHEET. (10 points)</w:t>
      </w:r>
    </w:p>
    <w:p w14:paraId="1CD4D035">
      <w:pPr>
        <w:spacing w:after="120" w:line="278" w:lineRule="auto"/>
      </w:pPr>
      <w:r>
        <w:rPr>
          <w:rFonts w:ascii="Times New Roman" w:hAnsi="Times New Roman" w:eastAsia="微软雅黑"/>
          <w:b/>
          <w:color w:val="000000"/>
          <w:sz w:val="21"/>
        </w:rPr>
        <w:t xml:space="preserve">[A] </w:t>
      </w:r>
      <w:r>
        <w:rPr>
          <w:rFonts w:ascii="Times New Roman" w:hAnsi="Times New Roman" w:eastAsia="微软雅黑"/>
          <w:b w:val="0"/>
          <w:color w:val="000000"/>
          <w:sz w:val="21"/>
        </w:rPr>
        <w:t>One long-standing approach to protecting satellites is a Whipple shield—a two-stage affair which places an outlying bumper a few centimetres above a main shield, both of which are typically made of aluminium. The bumper breaks an incoming object into a spray of smaller, less energetic fragments that the main shield can then stop more easily. But this arrangement is bulky and heavy. So most satellites simply take their chances behind aluminium panels stiffened with a honeycomb also made of that metal. These offer only limited protection from debris.</w:t>
      </w:r>
    </w:p>
    <w:p w14:paraId="1E3B7CD6">
      <w:pPr>
        <w:spacing w:after="120" w:line="278" w:lineRule="auto"/>
      </w:pPr>
      <w:r>
        <w:rPr>
          <w:rFonts w:ascii="Times New Roman" w:hAnsi="Times New Roman" w:eastAsia="微软雅黑"/>
          <w:b/>
          <w:color w:val="000000"/>
          <w:sz w:val="21"/>
        </w:rPr>
        <w:t xml:space="preserve">[B] </w:t>
      </w:r>
      <w:r>
        <w:rPr>
          <w:rFonts w:ascii="Times New Roman" w:hAnsi="Times New Roman" w:eastAsia="微软雅黑"/>
          <w:b w:val="0"/>
          <w:color w:val="000000"/>
          <w:sz w:val="21"/>
        </w:rPr>
        <w:t>Hurtling around Earth at roughly seven kilometres a second, even tiny pieces of debris pack quite a punch. Such manmade junk poses a far greater threat to satellites circling in low orbits than natural space rocks do—and the risks are rising. According to the European Space Agency, the amount of rubbish in orbit has more than doubled since 2017.</w:t>
      </w:r>
    </w:p>
    <w:p w14:paraId="35BB57B3">
      <w:pPr>
        <w:spacing w:after="120" w:line="278" w:lineRule="auto"/>
      </w:pPr>
      <w:r>
        <w:rPr>
          <w:rFonts w:ascii="Times New Roman" w:hAnsi="Times New Roman" w:eastAsia="微软雅黑"/>
          <w:b/>
          <w:color w:val="000000"/>
          <w:sz w:val="21"/>
        </w:rPr>
        <w:t xml:space="preserve">[C] </w:t>
      </w:r>
      <w:r>
        <w:rPr>
          <w:rFonts w:ascii="Times New Roman" w:hAnsi="Times New Roman" w:eastAsia="微软雅黑"/>
          <w:b w:val="0"/>
          <w:color w:val="000000"/>
          <w:sz w:val="21"/>
        </w:rPr>
        <w:t>Another approach, from a team at the University of Padua, in Italy, employs 3D printing to up the ante. Lorenzo Olivieri and his colleagues have made experimental shields using aluminium, Kevlar and resin reinforced with carbon fibres. Printing such shields layer by layer allows internal cavities to be introduced. These voids, says Dr Olivieri, act as small Whipple shields, subjecting incoming projectiles to successive shocks that serve to break them into ever-tinier fragments.</w:t>
      </w:r>
    </w:p>
    <w:p w14:paraId="7A912FE9">
      <w:pPr>
        <w:spacing w:after="120" w:line="278" w:lineRule="auto"/>
      </w:pPr>
      <w:r>
        <w:rPr>
          <w:rFonts w:ascii="Times New Roman" w:hAnsi="Times New Roman" w:eastAsia="微软雅黑"/>
          <w:b/>
          <w:color w:val="000000"/>
          <w:sz w:val="21"/>
        </w:rPr>
        <w:t xml:space="preserve">[D] </w:t>
      </w:r>
      <w:r>
        <w:rPr>
          <w:rFonts w:ascii="Times New Roman" w:hAnsi="Times New Roman" w:eastAsia="微软雅黑"/>
          <w:b w:val="0"/>
          <w:color w:val="000000"/>
          <w:sz w:val="21"/>
        </w:rPr>
        <w:t>A still-further means to deliver Whipple-mimicking repeated shocks is with aluminium foam. This is made by packing a ceramic material into a porous plastic structure, then burning away the plastic to leave a network of cavities into which molten aluminium is poured. Knocking the ceramic out leaves behind a metal matrix that has voids up to 5mm in diameter scattered throughout its interior. Testing by NASA, America’s space agency, found that a shield incorporating a layer of this foam a little over 6mm thick could provide the same protection as a conventional Whipple shield of twice the weight.</w:t>
      </w:r>
    </w:p>
    <w:p w14:paraId="37D78ADD">
      <w:pPr>
        <w:spacing w:after="120" w:line="278" w:lineRule="auto"/>
      </w:pPr>
      <w:r>
        <w:rPr>
          <w:rFonts w:ascii="Times New Roman" w:hAnsi="Times New Roman" w:eastAsia="微软雅黑"/>
          <w:b/>
          <w:color w:val="000000"/>
          <w:sz w:val="21"/>
        </w:rPr>
        <w:t xml:space="preserve">[E] </w:t>
      </w:r>
      <w:r>
        <w:rPr>
          <w:rFonts w:ascii="Times New Roman" w:hAnsi="Times New Roman" w:eastAsia="微软雅黑"/>
          <w:b w:val="0"/>
          <w:color w:val="000000"/>
          <w:sz w:val="21"/>
        </w:rPr>
        <w:t>Yet the range of options for protecting satellites is increasing. One of the alternatives on offer is composite tiles. Atomic-6, a firm near Atlanta, is developing these under the brand name Space Armor. It is cagey about the materials involved, but the resulting tiles are hand-size, 2.5cm thick and weigh about as much as an iPhone. In tests, they successfully stop aluminium projectiles the size of a pea that have been accelerated by a gas gun to 7.2km a second. Moreover, unlike Whipple shields, they throw off no shrapnel that could become someone else’s problem, says Trevor Smith, Atomic-6’s boss. Instead, incoming metal objects (and much space junk is metallic) are vaporised and absorbed.</w:t>
      </w:r>
    </w:p>
    <w:p w14:paraId="53E5E512">
      <w:pPr>
        <w:spacing w:after="120" w:line="278" w:lineRule="auto"/>
      </w:pPr>
      <w:r>
        <w:rPr>
          <w:rFonts w:ascii="Times New Roman" w:hAnsi="Times New Roman" w:eastAsia="微软雅黑"/>
          <w:b/>
          <w:color w:val="000000"/>
          <w:sz w:val="21"/>
        </w:rPr>
        <w:t xml:space="preserve">[F] </w:t>
      </w:r>
      <w:r>
        <w:rPr>
          <w:rFonts w:ascii="Times New Roman" w:hAnsi="Times New Roman" w:eastAsia="微软雅黑"/>
          <w:b w:val="0"/>
          <w:color w:val="000000"/>
          <w:sz w:val="21"/>
        </w:rPr>
        <w:t>However promising this repertoire of shielding types is, though, much will hinge on what they encounter. Projectiles range from chunks of metal and pieces of plastic to rocks and flecks of paint, and the mix varies with the orbit, notes Rannveig Marie Faergestad, a shielding designer at Thales Alenia Space, a Franco-Italian spacecraft-maker. Better knowledge of what prevails in a given zone would therefore help, and Odin Space’s impact sensors should provide it. That will make girding for orbit a bit less of a shot in the dark.</w:t>
      </w:r>
    </w:p>
    <w:p w14:paraId="638AECF4">
      <w:pPr>
        <w:spacing w:after="120" w:line="278" w:lineRule="auto"/>
      </w:pPr>
      <w:r>
        <w:rPr>
          <w:rFonts w:ascii="Times New Roman" w:hAnsi="Times New Roman" w:eastAsia="微软雅黑"/>
          <w:b/>
          <w:color w:val="000000"/>
          <w:sz w:val="21"/>
        </w:rPr>
        <w:t xml:space="preserve">[G] </w:t>
      </w:r>
      <w:r>
        <w:rPr>
          <w:rFonts w:ascii="Times New Roman" w:hAnsi="Times New Roman" w:eastAsia="微软雅黑"/>
          <w:b w:val="0"/>
          <w:color w:val="000000"/>
          <w:sz w:val="21"/>
        </w:rPr>
        <w:t>Roughly one small satellite in five stops working within a year of launch, estimates a study published in 2021, and in three-fifths of these cases operators do not know what happened. The smart money is on quite a few such failures being caused by collisions with space debris. To provide more data Odin Space, a firm based in Santa Ana, California, has begun selling a system that uses vibration-sensing adhesive strips to detect and assess impacts. The results should help settle bets on the best shielding for a given orbit.</w:t>
      </w:r>
    </w:p>
    <w:p w14:paraId="6E58A35A">
      <w:pPr>
        <w:spacing w:after="120" w:line="276" w:lineRule="auto"/>
        <w:jc w:val="center"/>
      </w:pPr>
      <w:r>
        <w:rPr>
          <w:rFonts w:ascii="Times New Roman" w:hAnsi="Times New Roman" w:eastAsia="微软雅黑"/>
          <w:b/>
          <w:color w:val="000000"/>
          <w:sz w:val="21"/>
        </w:rPr>
        <w:t>B   |   41   |   42   |   43   |   44   |   45   |   F</w:t>
      </w:r>
    </w:p>
    <w:p w14:paraId="12725E23">
      <w:pPr>
        <w:keepNext/>
        <w:spacing w:before="280" w:after="120"/>
      </w:pPr>
      <w:r>
        <w:rPr>
          <w:rFonts w:ascii="Times New Roman" w:hAnsi="Times New Roman" w:eastAsia="微软雅黑"/>
          <w:b/>
          <w:color w:val="000000"/>
          <w:sz w:val="28"/>
        </w:rPr>
        <w:t>答案与解析</w:t>
      </w:r>
    </w:p>
    <w:p w14:paraId="1E4E14E9">
      <w:pPr>
        <w:keepNext/>
        <w:spacing w:before="200" w:after="120"/>
      </w:pPr>
      <w:r>
        <w:rPr>
          <w:rFonts w:ascii="Times New Roman" w:hAnsi="Times New Roman" w:eastAsia="微软雅黑"/>
          <w:b/>
          <w:color w:val="000000"/>
          <w:sz w:val="24"/>
        </w:rPr>
        <w:t>答案速查</w:t>
      </w:r>
    </w:p>
    <w:p w14:paraId="521CC23E">
      <w:pPr>
        <w:spacing w:after="200" w:line="276" w:lineRule="auto"/>
      </w:pPr>
      <w:r>
        <w:rPr>
          <w:rFonts w:ascii="Times New Roman" w:hAnsi="Times New Roman" w:eastAsia="微软雅黑"/>
          <w:b/>
          <w:color w:val="000000"/>
          <w:sz w:val="21"/>
        </w:rPr>
        <w:t>41. G    42. A    43. E    44. C    45. D</w:t>
      </w:r>
    </w:p>
    <w:p w14:paraId="149385A8">
      <w:pPr>
        <w:keepNext/>
        <w:spacing w:before="200" w:after="120"/>
      </w:pPr>
      <w:r>
        <w:rPr>
          <w:rFonts w:ascii="Times New Roman" w:hAnsi="Times New Roman" w:eastAsia="微软雅黑"/>
          <w:b/>
          <w:color w:val="000000"/>
          <w:sz w:val="24"/>
        </w:rPr>
        <w:t>文章与命题分析</w:t>
      </w:r>
    </w:p>
    <w:p w14:paraId="572AAE30">
      <w:pPr>
        <w:spacing w:after="80" w:line="276" w:lineRule="auto"/>
      </w:pPr>
      <w:r>
        <w:rPr>
          <w:rFonts w:ascii="Times New Roman" w:hAnsi="Times New Roman" w:eastAsia="微软雅黑"/>
          <w:b w:val="0"/>
          <w:color w:val="000000"/>
          <w:sz w:val="21"/>
        </w:rPr>
        <w:t>文章主旨：轨道碎片对卫星的威胁上升，传统防护笨重有限；新型复合瓦、3D打印结构和铝泡沫等方案正在提升防护效果，但仍需按轨道中投射物类型选择。</w:t>
      </w:r>
    </w:p>
    <w:p w14:paraId="5F491DFC">
      <w:pPr>
        <w:spacing w:after="80" w:line="276" w:lineRule="auto"/>
      </w:pPr>
      <w:r>
        <w:rPr>
          <w:rFonts w:ascii="Times New Roman" w:hAnsi="Times New Roman" w:eastAsia="微软雅黑"/>
          <w:b w:val="0"/>
          <w:color w:val="000000"/>
          <w:sz w:val="21"/>
        </w:rPr>
        <w:t>结构脉络：固定段B提出碎片风险 → G段说明卫星失效与测量需求 → A段回顾Whippleshield → E段进入新方案 → C段推进到3D打印 → D段推进到铝泡沫 → 固定段F总结依轨道选择防护。</w:t>
      </w:r>
    </w:p>
    <w:p w14:paraId="4DC68798">
      <w:pPr>
        <w:spacing w:after="80" w:line="276" w:lineRule="auto"/>
      </w:pPr>
      <w:r>
        <w:rPr>
          <w:rFonts w:ascii="Times New Roman" w:hAnsi="Times New Roman" w:eastAsia="微软雅黑"/>
          <w:b w:val="0"/>
          <w:color w:val="000000"/>
          <w:sz w:val="21"/>
        </w:rPr>
        <w:t>题型适配：文段存在“风险—测量—旧方案—新方案递进—总结”的硬逻辑链，段首转折词和方案递进词明显，适合段落排序。</w:t>
      </w:r>
    </w:p>
    <w:p w14:paraId="11C54A20">
      <w:pPr>
        <w:spacing w:after="200" w:line="276" w:lineRule="auto"/>
      </w:pPr>
      <w:r>
        <w:rPr>
          <w:rFonts w:ascii="Times New Roman" w:hAnsi="Times New Roman" w:eastAsia="微软雅黑"/>
          <w:b w:val="0"/>
          <w:color w:val="000000"/>
          <w:sz w:val="21"/>
        </w:rPr>
        <w:t>解题入口：先固定 B 与 F；用 G段的 Odin Space 呼应 F段末句，再以 Whipple shield 的首次提出和 Yet/Another/still-further 的递进确定其余段。</w:t>
      </w:r>
    </w:p>
    <w:p w14:paraId="24D27563">
      <w:pPr>
        <w:keepNext/>
        <w:spacing w:before="200" w:after="120"/>
      </w:pPr>
      <w:r>
        <w:rPr>
          <w:rFonts w:ascii="Times New Roman" w:hAnsi="Times New Roman" w:eastAsia="微软雅黑"/>
          <w:b/>
          <w:color w:val="000000"/>
          <w:sz w:val="24"/>
        </w:rPr>
        <w:t>选项总览</w:t>
      </w:r>
    </w:p>
    <w:p w14:paraId="19D98014">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回顾Whipple shield及其笨重问题，属于传统基线。</w:t>
      </w:r>
    </w:p>
    <w:p w14:paraId="0025C92D">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写3D打印引入内部空腔，是方案递进段。</w:t>
      </w:r>
    </w:p>
    <w:p w14:paraId="67292AA6">
      <w:pPr>
        <w:spacing w:after="80"/>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写铝泡沫提供类似Whipple的连续冲击，是更后的新方案。</w:t>
      </w:r>
    </w:p>
    <w:p w14:paraId="0942E643">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写复合瓦等新选择，开启传统防护之后的替代方案。</w:t>
      </w:r>
    </w:p>
    <w:p w14:paraId="23837000">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写卫星失效数据和Odin Space传感器，衔接风险与防护选择。</w:t>
      </w:r>
    </w:p>
    <w:p w14:paraId="4924DD7F">
      <w:pPr>
        <w:spacing w:after="120" w:line="276" w:lineRule="auto"/>
      </w:pPr>
    </w:p>
    <w:p w14:paraId="65791E0C">
      <w:pPr>
        <w:keepNext/>
        <w:spacing w:before="200" w:after="120"/>
      </w:pPr>
      <w:r>
        <w:rPr>
          <w:rFonts w:ascii="Times New Roman" w:hAnsi="Times New Roman" w:eastAsia="微软雅黑"/>
          <w:b/>
          <w:color w:val="000000"/>
          <w:sz w:val="23"/>
        </w:rPr>
        <w:t>41.【答案】G</w:t>
      </w:r>
    </w:p>
    <w:p w14:paraId="4572771C">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固定段B之后；空位42前。</w:t>
      </w:r>
    </w:p>
    <w:p w14:paraId="743EE8DF">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B段提出碎片数量翻倍、风险上升；【G】用“one small satellite in five stops working”把风险落到卫星失效，并引出 Odin Space 的冲击测量。该段的 shielding for a given orbit 又为后文各种防护方案做铺垫。</w:t>
      </w:r>
    </w:p>
    <w:p w14:paraId="00EA590B">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DF0D3D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4764EB93">
            <w:pPr>
              <w:spacing w:after="40"/>
            </w:pPr>
            <w:r>
              <w:rPr>
                <w:rFonts w:ascii="Times New Roman" w:hAnsi="Times New Roman" w:eastAsia="微软雅黑"/>
                <w:b/>
                <w:color w:val="FFFFFF"/>
                <w:sz w:val="20"/>
              </w:rPr>
              <w:t>选项</w:t>
            </w:r>
          </w:p>
        </w:tc>
        <w:tc>
          <w:tcPr>
            <w:tcW w:w="1224" w:type="dxa"/>
            <w:shd w:val="clear" w:color="auto" w:fill="1F4E79"/>
          </w:tcPr>
          <w:p w14:paraId="60F977C0">
            <w:pPr>
              <w:spacing w:after="40"/>
            </w:pPr>
            <w:r>
              <w:rPr>
                <w:rFonts w:ascii="Times New Roman" w:hAnsi="Times New Roman" w:eastAsia="微软雅黑"/>
                <w:b/>
                <w:color w:val="FFFFFF"/>
                <w:sz w:val="20"/>
              </w:rPr>
              <w:t>判断</w:t>
            </w:r>
          </w:p>
        </w:tc>
        <w:tc>
          <w:tcPr>
            <w:tcW w:w="7344" w:type="dxa"/>
            <w:shd w:val="clear" w:color="auto" w:fill="1F4E79"/>
          </w:tcPr>
          <w:p w14:paraId="39A0BA52">
            <w:pPr>
              <w:spacing w:after="40"/>
            </w:pPr>
            <w:r>
              <w:rPr>
                <w:rFonts w:ascii="Times New Roman" w:hAnsi="Times New Roman" w:eastAsia="微软雅黑"/>
                <w:b/>
                <w:color w:val="FFFFFF"/>
                <w:sz w:val="20"/>
              </w:rPr>
              <w:t>理由</w:t>
            </w:r>
          </w:p>
        </w:tc>
      </w:tr>
      <w:tr w14:paraId="1F9A82B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5F93620">
            <w:pPr>
              <w:spacing w:after="40" w:line="259" w:lineRule="auto"/>
            </w:pPr>
            <w:r>
              <w:rPr>
                <w:rFonts w:ascii="Times New Roman" w:hAnsi="Times New Roman" w:eastAsia="微软雅黑"/>
                <w:b w:val="0"/>
                <w:color w:val="000000"/>
                <w:sz w:val="19"/>
              </w:rPr>
              <w:t>A</w:t>
            </w:r>
          </w:p>
        </w:tc>
        <w:tc>
          <w:tcPr>
            <w:tcW w:w="1224" w:type="dxa"/>
          </w:tcPr>
          <w:p w14:paraId="1F86AEE6">
            <w:pPr>
              <w:spacing w:after="40" w:line="259" w:lineRule="auto"/>
            </w:pPr>
            <w:r>
              <w:rPr>
                <w:rFonts w:ascii="Times New Roman" w:hAnsi="Times New Roman" w:eastAsia="微软雅黑"/>
                <w:b w:val="0"/>
                <w:color w:val="000000"/>
                <w:sz w:val="19"/>
              </w:rPr>
              <w:t>不能选</w:t>
            </w:r>
          </w:p>
        </w:tc>
        <w:tc>
          <w:tcPr>
            <w:tcW w:w="7344" w:type="dxa"/>
          </w:tcPr>
          <w:p w14:paraId="6928A7B3">
            <w:pPr>
              <w:spacing w:after="40" w:line="259" w:lineRule="auto"/>
            </w:pPr>
            <w:r>
              <w:rPr>
                <w:rFonts w:ascii="Times New Roman" w:hAnsi="Times New Roman" w:eastAsia="微软雅黑"/>
                <w:b w:val="0"/>
                <w:color w:val="000000"/>
                <w:sz w:val="19"/>
              </w:rPr>
              <w:t>传统Whipple shield应先解决“如何防护”的基础语境，但测量需求由G段更自然承接B段。</w:t>
            </w:r>
          </w:p>
        </w:tc>
      </w:tr>
      <w:tr w14:paraId="2AB1566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37E026F">
            <w:pPr>
              <w:spacing w:after="40" w:line="259" w:lineRule="auto"/>
            </w:pPr>
            <w:r>
              <w:rPr>
                <w:rFonts w:ascii="Times New Roman" w:hAnsi="Times New Roman" w:eastAsia="微软雅黑"/>
                <w:b w:val="0"/>
                <w:color w:val="000000"/>
                <w:sz w:val="19"/>
              </w:rPr>
              <w:t>C</w:t>
            </w:r>
          </w:p>
        </w:tc>
        <w:tc>
          <w:tcPr>
            <w:tcW w:w="1224" w:type="dxa"/>
            <w:shd w:val="clear" w:color="auto" w:fill="EAF2F8"/>
          </w:tcPr>
          <w:p w14:paraId="2597759D">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8C5291E">
            <w:pPr>
              <w:spacing w:after="40" w:line="259" w:lineRule="auto"/>
            </w:pPr>
            <w:r>
              <w:rPr>
                <w:rFonts w:ascii="Times New Roman" w:hAnsi="Times New Roman" w:eastAsia="微软雅黑"/>
                <w:b w:val="0"/>
                <w:color w:val="000000"/>
                <w:sz w:val="19"/>
              </w:rPr>
              <w:t>3D打印是方案递进，不能在传统方案前出现。</w:t>
            </w:r>
          </w:p>
        </w:tc>
      </w:tr>
      <w:tr w14:paraId="6F36090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4807251">
            <w:pPr>
              <w:spacing w:after="40" w:line="259" w:lineRule="auto"/>
            </w:pPr>
            <w:r>
              <w:rPr>
                <w:rFonts w:ascii="Times New Roman" w:hAnsi="Times New Roman" w:eastAsia="微软雅黑"/>
                <w:b w:val="0"/>
                <w:color w:val="000000"/>
                <w:sz w:val="19"/>
              </w:rPr>
              <w:t>D</w:t>
            </w:r>
          </w:p>
        </w:tc>
        <w:tc>
          <w:tcPr>
            <w:tcW w:w="1224" w:type="dxa"/>
          </w:tcPr>
          <w:p w14:paraId="31021BED">
            <w:pPr>
              <w:spacing w:after="40" w:line="259" w:lineRule="auto"/>
            </w:pPr>
            <w:r>
              <w:rPr>
                <w:rFonts w:ascii="Times New Roman" w:hAnsi="Times New Roman" w:eastAsia="微软雅黑"/>
                <w:b w:val="0"/>
                <w:color w:val="000000"/>
                <w:sz w:val="19"/>
              </w:rPr>
              <w:t>不能选</w:t>
            </w:r>
          </w:p>
        </w:tc>
        <w:tc>
          <w:tcPr>
            <w:tcW w:w="7344" w:type="dxa"/>
          </w:tcPr>
          <w:p w14:paraId="18AFC24A">
            <w:pPr>
              <w:spacing w:after="40" w:line="259" w:lineRule="auto"/>
            </w:pPr>
            <w:r>
              <w:rPr>
                <w:rFonts w:ascii="Times New Roman" w:hAnsi="Times New Roman" w:eastAsia="微软雅黑"/>
                <w:b w:val="0"/>
                <w:color w:val="000000"/>
                <w:sz w:val="19"/>
              </w:rPr>
              <w:t>铝泡沫属于最后的新方案。</w:t>
            </w:r>
          </w:p>
        </w:tc>
      </w:tr>
      <w:tr w14:paraId="677220B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7920D3E6">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2BF6AE6E">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2C4137B">
            <w:pPr>
              <w:spacing w:after="40" w:line="259" w:lineRule="auto"/>
            </w:pPr>
            <w:r>
              <w:rPr>
                <w:rFonts w:ascii="Times New Roman" w:hAnsi="Times New Roman" w:eastAsia="微软雅黑"/>
                <w:b w:val="0"/>
                <w:color w:val="000000"/>
                <w:sz w:val="19"/>
              </w:rPr>
              <w:t>“Yet the range of options”需要先有A段的旧方案作对比。</w:t>
            </w:r>
          </w:p>
        </w:tc>
      </w:tr>
      <w:tr w14:paraId="1D60B20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767D424D">
            <w:pPr>
              <w:spacing w:after="40" w:line="259" w:lineRule="auto"/>
            </w:pPr>
            <w:r>
              <w:rPr>
                <w:rFonts w:ascii="Times New Roman" w:hAnsi="Times New Roman" w:eastAsia="微软雅黑"/>
                <w:b w:val="0"/>
                <w:color w:val="000000"/>
                <w:sz w:val="19"/>
              </w:rPr>
              <w:t>G</w:t>
            </w:r>
          </w:p>
        </w:tc>
        <w:tc>
          <w:tcPr>
            <w:tcW w:w="1224" w:type="dxa"/>
          </w:tcPr>
          <w:p w14:paraId="26C54646">
            <w:pPr>
              <w:spacing w:after="40" w:line="259" w:lineRule="auto"/>
            </w:pPr>
            <w:r>
              <w:rPr>
                <w:rFonts w:ascii="Times New Roman" w:hAnsi="Times New Roman" w:eastAsia="微软雅黑"/>
                <w:b w:val="0"/>
                <w:color w:val="000000"/>
                <w:sz w:val="19"/>
              </w:rPr>
              <w:t>正确</w:t>
            </w:r>
          </w:p>
        </w:tc>
        <w:tc>
          <w:tcPr>
            <w:tcW w:w="7344" w:type="dxa"/>
          </w:tcPr>
          <w:p w14:paraId="1CD975AB">
            <w:pPr>
              <w:spacing w:after="40" w:line="259" w:lineRule="auto"/>
            </w:pPr>
            <w:r>
              <w:rPr>
                <w:rFonts w:ascii="Times New Roman" w:hAnsi="Times New Roman" w:eastAsia="微软雅黑"/>
                <w:b w:val="0"/>
                <w:color w:val="000000"/>
                <w:sz w:val="19"/>
              </w:rPr>
              <w:t>用失效数据和传感器把风险推进到防护选择。</w:t>
            </w:r>
          </w:p>
        </w:tc>
      </w:tr>
    </w:tbl>
    <w:p w14:paraId="19A2EF85">
      <w:pPr>
        <w:spacing w:after="160" w:line="276" w:lineRule="auto"/>
      </w:pPr>
    </w:p>
    <w:p w14:paraId="18752549">
      <w:pPr>
        <w:keepNext/>
        <w:spacing w:before="200" w:after="120"/>
      </w:pPr>
      <w:r>
        <w:rPr>
          <w:rFonts w:ascii="Times New Roman" w:hAnsi="Times New Roman" w:eastAsia="微软雅黑"/>
          <w:b/>
          <w:color w:val="000000"/>
          <w:sz w:val="23"/>
        </w:rPr>
        <w:t>42.【答案】A</w:t>
      </w:r>
    </w:p>
    <w:p w14:paraId="047A2CCB">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空位42；空位43前。</w:t>
      </w:r>
    </w:p>
    <w:p w14:paraId="1557D48A">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【A】首次完整定义 Whipple shield，说明其两段式防护原理，再指出 bulky and heavy 与 limited protection。它为【E】段首“Yet the range of options... is increasing”和“unlike Whipple shields”提供必要对照。</w:t>
      </w:r>
    </w:p>
    <w:p w14:paraId="089087A5">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6B7F4F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5B9C5FE8">
            <w:pPr>
              <w:spacing w:after="40"/>
            </w:pPr>
            <w:r>
              <w:rPr>
                <w:rFonts w:ascii="Times New Roman" w:hAnsi="Times New Roman" w:eastAsia="微软雅黑"/>
                <w:b/>
                <w:color w:val="FFFFFF"/>
                <w:sz w:val="20"/>
              </w:rPr>
              <w:t>选项</w:t>
            </w:r>
          </w:p>
        </w:tc>
        <w:tc>
          <w:tcPr>
            <w:tcW w:w="1224" w:type="dxa"/>
            <w:shd w:val="clear" w:color="auto" w:fill="1F4E79"/>
          </w:tcPr>
          <w:p w14:paraId="7D12B6B0">
            <w:pPr>
              <w:spacing w:after="40"/>
            </w:pPr>
            <w:r>
              <w:rPr>
                <w:rFonts w:ascii="Times New Roman" w:hAnsi="Times New Roman" w:eastAsia="微软雅黑"/>
                <w:b/>
                <w:color w:val="FFFFFF"/>
                <w:sz w:val="20"/>
              </w:rPr>
              <w:t>判断</w:t>
            </w:r>
          </w:p>
        </w:tc>
        <w:tc>
          <w:tcPr>
            <w:tcW w:w="7344" w:type="dxa"/>
            <w:shd w:val="clear" w:color="auto" w:fill="1F4E79"/>
          </w:tcPr>
          <w:p w14:paraId="37FB2D91">
            <w:pPr>
              <w:spacing w:after="40"/>
            </w:pPr>
            <w:r>
              <w:rPr>
                <w:rFonts w:ascii="Times New Roman" w:hAnsi="Times New Roman" w:eastAsia="微软雅黑"/>
                <w:b/>
                <w:color w:val="FFFFFF"/>
                <w:sz w:val="20"/>
              </w:rPr>
              <w:t>理由</w:t>
            </w:r>
          </w:p>
        </w:tc>
      </w:tr>
      <w:tr w14:paraId="02CA8BE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A1FFD39">
            <w:pPr>
              <w:spacing w:after="40" w:line="259" w:lineRule="auto"/>
            </w:pPr>
            <w:r>
              <w:rPr>
                <w:rFonts w:ascii="Times New Roman" w:hAnsi="Times New Roman" w:eastAsia="微软雅黑"/>
                <w:b w:val="0"/>
                <w:color w:val="000000"/>
                <w:sz w:val="19"/>
              </w:rPr>
              <w:t>A</w:t>
            </w:r>
          </w:p>
        </w:tc>
        <w:tc>
          <w:tcPr>
            <w:tcW w:w="1224" w:type="dxa"/>
          </w:tcPr>
          <w:p w14:paraId="30C4684F">
            <w:pPr>
              <w:spacing w:after="40" w:line="259" w:lineRule="auto"/>
            </w:pPr>
            <w:r>
              <w:rPr>
                <w:rFonts w:ascii="Times New Roman" w:hAnsi="Times New Roman" w:eastAsia="微软雅黑"/>
                <w:b w:val="0"/>
                <w:color w:val="000000"/>
                <w:sz w:val="19"/>
              </w:rPr>
              <w:t>正确</w:t>
            </w:r>
          </w:p>
        </w:tc>
        <w:tc>
          <w:tcPr>
            <w:tcW w:w="7344" w:type="dxa"/>
          </w:tcPr>
          <w:p w14:paraId="22419203">
            <w:pPr>
              <w:spacing w:after="40" w:line="259" w:lineRule="auto"/>
            </w:pPr>
            <w:r>
              <w:rPr>
                <w:rFonts w:ascii="Times New Roman" w:hAnsi="Times New Roman" w:eastAsia="微软雅黑"/>
                <w:b w:val="0"/>
                <w:color w:val="000000"/>
                <w:sz w:val="19"/>
              </w:rPr>
              <w:t>确立传统防护基线，并被后文新方案反驳。</w:t>
            </w:r>
          </w:p>
        </w:tc>
      </w:tr>
      <w:tr w14:paraId="2671A64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DF43EEC">
            <w:pPr>
              <w:spacing w:after="40" w:line="259" w:lineRule="auto"/>
            </w:pPr>
            <w:r>
              <w:rPr>
                <w:rFonts w:ascii="Times New Roman" w:hAnsi="Times New Roman" w:eastAsia="微软雅黑"/>
                <w:b w:val="0"/>
                <w:color w:val="000000"/>
                <w:sz w:val="19"/>
              </w:rPr>
              <w:t>C</w:t>
            </w:r>
          </w:p>
        </w:tc>
        <w:tc>
          <w:tcPr>
            <w:tcW w:w="1224" w:type="dxa"/>
            <w:shd w:val="clear" w:color="auto" w:fill="EAF2F8"/>
          </w:tcPr>
          <w:p w14:paraId="49A66376">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4B8F748">
            <w:pPr>
              <w:spacing w:after="40" w:line="259" w:lineRule="auto"/>
            </w:pPr>
            <w:r>
              <w:rPr>
                <w:rFonts w:ascii="Times New Roman" w:hAnsi="Times New Roman" w:eastAsia="微软雅黑"/>
                <w:b w:val="0"/>
                <w:color w:val="000000"/>
                <w:sz w:val="19"/>
              </w:rPr>
              <w:t>“Whipple shields”的原理必须先由【A】交代。</w:t>
            </w:r>
          </w:p>
        </w:tc>
      </w:tr>
      <w:tr w14:paraId="7F97BC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70C5067">
            <w:pPr>
              <w:spacing w:after="40" w:line="259" w:lineRule="auto"/>
            </w:pPr>
            <w:r>
              <w:rPr>
                <w:rFonts w:ascii="Times New Roman" w:hAnsi="Times New Roman" w:eastAsia="微软雅黑"/>
                <w:b w:val="0"/>
                <w:color w:val="000000"/>
                <w:sz w:val="19"/>
              </w:rPr>
              <w:t>D</w:t>
            </w:r>
          </w:p>
        </w:tc>
        <w:tc>
          <w:tcPr>
            <w:tcW w:w="1224" w:type="dxa"/>
          </w:tcPr>
          <w:p w14:paraId="1D7BB54A">
            <w:pPr>
              <w:spacing w:after="40" w:line="259" w:lineRule="auto"/>
            </w:pPr>
            <w:r>
              <w:rPr>
                <w:rFonts w:ascii="Times New Roman" w:hAnsi="Times New Roman" w:eastAsia="微软雅黑"/>
                <w:b w:val="0"/>
                <w:color w:val="000000"/>
                <w:sz w:val="19"/>
              </w:rPr>
              <w:t>不能选</w:t>
            </w:r>
          </w:p>
        </w:tc>
        <w:tc>
          <w:tcPr>
            <w:tcW w:w="7344" w:type="dxa"/>
          </w:tcPr>
          <w:p w14:paraId="0F9B9564">
            <w:pPr>
              <w:spacing w:after="40" w:line="259" w:lineRule="auto"/>
            </w:pPr>
            <w:r>
              <w:rPr>
                <w:rFonts w:ascii="Times New Roman" w:hAnsi="Times New Roman" w:eastAsia="微软雅黑"/>
                <w:b w:val="0"/>
                <w:color w:val="000000"/>
                <w:sz w:val="19"/>
              </w:rPr>
              <w:t>“Whipple-mimicking”也要以【A】的定义为前提。</w:t>
            </w:r>
          </w:p>
        </w:tc>
      </w:tr>
      <w:tr w14:paraId="2E3D7E0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1D78408">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414AC509">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982779A">
            <w:pPr>
              <w:spacing w:after="40" w:line="259" w:lineRule="auto"/>
            </w:pPr>
            <w:r>
              <w:rPr>
                <w:rFonts w:ascii="Times New Roman" w:hAnsi="Times New Roman" w:eastAsia="微软雅黑"/>
                <w:b w:val="0"/>
                <w:color w:val="000000"/>
                <w:sz w:val="19"/>
              </w:rPr>
              <w:t>“Yet”表示转折，应放在旧方案缺点之后。</w:t>
            </w:r>
          </w:p>
        </w:tc>
      </w:tr>
      <w:tr w14:paraId="119417D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55FFE92">
            <w:pPr>
              <w:spacing w:after="40" w:line="259" w:lineRule="auto"/>
            </w:pPr>
            <w:r>
              <w:rPr>
                <w:rFonts w:ascii="Times New Roman" w:hAnsi="Times New Roman" w:eastAsia="微软雅黑"/>
                <w:b w:val="0"/>
                <w:color w:val="000000"/>
                <w:sz w:val="19"/>
              </w:rPr>
              <w:t>G</w:t>
            </w:r>
          </w:p>
        </w:tc>
        <w:tc>
          <w:tcPr>
            <w:tcW w:w="1224" w:type="dxa"/>
          </w:tcPr>
          <w:p w14:paraId="4EE0D7C1">
            <w:pPr>
              <w:spacing w:after="40" w:line="259" w:lineRule="auto"/>
            </w:pPr>
            <w:r>
              <w:rPr>
                <w:rFonts w:ascii="Times New Roman" w:hAnsi="Times New Roman" w:eastAsia="微软雅黑"/>
                <w:b w:val="0"/>
                <w:color w:val="000000"/>
                <w:sz w:val="19"/>
              </w:rPr>
              <w:t>不能选</w:t>
            </w:r>
          </w:p>
        </w:tc>
        <w:tc>
          <w:tcPr>
            <w:tcW w:w="7344" w:type="dxa"/>
          </w:tcPr>
          <w:p w14:paraId="1DC03CFE">
            <w:pPr>
              <w:spacing w:after="40" w:line="259" w:lineRule="auto"/>
            </w:pPr>
            <w:r>
              <w:rPr>
                <w:rFonts w:ascii="Times New Roman" w:hAnsi="Times New Roman" w:eastAsia="微软雅黑"/>
                <w:b w:val="0"/>
                <w:color w:val="000000"/>
                <w:sz w:val="19"/>
              </w:rPr>
              <w:t>G段已在41空完成风险到测量的衔接。</w:t>
            </w:r>
          </w:p>
        </w:tc>
      </w:tr>
    </w:tbl>
    <w:p w14:paraId="45BE7ACF">
      <w:pPr>
        <w:spacing w:after="160" w:line="276" w:lineRule="auto"/>
      </w:pPr>
    </w:p>
    <w:p w14:paraId="49AA8471">
      <w:pPr>
        <w:keepNext/>
        <w:spacing w:before="200" w:after="120"/>
      </w:pPr>
      <w:r>
        <w:rPr>
          <w:rFonts w:ascii="Times New Roman" w:hAnsi="Times New Roman" w:eastAsia="微软雅黑"/>
          <w:b/>
          <w:color w:val="000000"/>
          <w:sz w:val="23"/>
        </w:rPr>
        <w:t>43.【答案】E</w:t>
      </w:r>
    </w:p>
    <w:p w14:paraId="57445F83">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空位43；空位44前。</w:t>
      </w:r>
    </w:p>
    <w:p w14:paraId="4419AEDA">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【E】以“Yet the range of options... is increasing”承接【A】中传统方案有限的问题；其中“unlike Whipple shields, they throw off no shrapnel”直接对照旧方案，并以复合瓦作为第一类替代方案，开启后文递进。</w:t>
      </w:r>
    </w:p>
    <w:p w14:paraId="53C54335">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6B30CE2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6113F3B6">
            <w:pPr>
              <w:spacing w:after="40"/>
            </w:pPr>
            <w:r>
              <w:rPr>
                <w:rFonts w:ascii="Times New Roman" w:hAnsi="Times New Roman" w:eastAsia="微软雅黑"/>
                <w:b/>
                <w:color w:val="FFFFFF"/>
                <w:sz w:val="20"/>
              </w:rPr>
              <w:t>选项</w:t>
            </w:r>
          </w:p>
        </w:tc>
        <w:tc>
          <w:tcPr>
            <w:tcW w:w="1224" w:type="dxa"/>
            <w:shd w:val="clear" w:color="auto" w:fill="1F4E79"/>
          </w:tcPr>
          <w:p w14:paraId="4BB3588F">
            <w:pPr>
              <w:spacing w:after="40"/>
            </w:pPr>
            <w:r>
              <w:rPr>
                <w:rFonts w:ascii="Times New Roman" w:hAnsi="Times New Roman" w:eastAsia="微软雅黑"/>
                <w:b/>
                <w:color w:val="FFFFFF"/>
                <w:sz w:val="20"/>
              </w:rPr>
              <w:t>判断</w:t>
            </w:r>
          </w:p>
        </w:tc>
        <w:tc>
          <w:tcPr>
            <w:tcW w:w="7344" w:type="dxa"/>
            <w:shd w:val="clear" w:color="auto" w:fill="1F4E79"/>
          </w:tcPr>
          <w:p w14:paraId="7DF94A64">
            <w:pPr>
              <w:spacing w:after="40"/>
            </w:pPr>
            <w:r>
              <w:rPr>
                <w:rFonts w:ascii="Times New Roman" w:hAnsi="Times New Roman" w:eastAsia="微软雅黑"/>
                <w:b/>
                <w:color w:val="FFFFFF"/>
                <w:sz w:val="20"/>
              </w:rPr>
              <w:t>理由</w:t>
            </w:r>
          </w:p>
        </w:tc>
      </w:tr>
      <w:tr w14:paraId="1AAB80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723EF14">
            <w:pPr>
              <w:spacing w:after="40" w:line="259" w:lineRule="auto"/>
            </w:pPr>
            <w:r>
              <w:rPr>
                <w:rFonts w:ascii="Times New Roman" w:hAnsi="Times New Roman" w:eastAsia="微软雅黑"/>
                <w:b w:val="0"/>
                <w:color w:val="000000"/>
                <w:sz w:val="19"/>
              </w:rPr>
              <w:t>A</w:t>
            </w:r>
          </w:p>
        </w:tc>
        <w:tc>
          <w:tcPr>
            <w:tcW w:w="1224" w:type="dxa"/>
          </w:tcPr>
          <w:p w14:paraId="5DE1CF76">
            <w:pPr>
              <w:spacing w:after="40" w:line="259" w:lineRule="auto"/>
            </w:pPr>
            <w:r>
              <w:rPr>
                <w:rFonts w:ascii="Times New Roman" w:hAnsi="Times New Roman" w:eastAsia="微软雅黑"/>
                <w:b w:val="0"/>
                <w:color w:val="000000"/>
                <w:sz w:val="19"/>
              </w:rPr>
              <w:t>不能选</w:t>
            </w:r>
          </w:p>
        </w:tc>
        <w:tc>
          <w:tcPr>
            <w:tcW w:w="7344" w:type="dxa"/>
          </w:tcPr>
          <w:p w14:paraId="09BC3CCC">
            <w:pPr>
              <w:spacing w:after="40" w:line="259" w:lineRule="auto"/>
            </w:pPr>
            <w:r>
              <w:rPr>
                <w:rFonts w:ascii="Times New Roman" w:hAnsi="Times New Roman" w:eastAsia="微软雅黑"/>
                <w:b w:val="0"/>
                <w:color w:val="000000"/>
                <w:sz w:val="19"/>
              </w:rPr>
              <w:t>旧方案不能在“Yet”之后重复充当新方案。</w:t>
            </w:r>
          </w:p>
        </w:tc>
      </w:tr>
      <w:tr w14:paraId="3A80EB7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375624C6">
            <w:pPr>
              <w:spacing w:after="40" w:line="259" w:lineRule="auto"/>
            </w:pPr>
            <w:r>
              <w:rPr>
                <w:rFonts w:ascii="Times New Roman" w:hAnsi="Times New Roman" w:eastAsia="微软雅黑"/>
                <w:b w:val="0"/>
                <w:color w:val="000000"/>
                <w:sz w:val="19"/>
              </w:rPr>
              <w:t>C</w:t>
            </w:r>
          </w:p>
        </w:tc>
        <w:tc>
          <w:tcPr>
            <w:tcW w:w="1224" w:type="dxa"/>
            <w:shd w:val="clear" w:color="auto" w:fill="EAF2F8"/>
          </w:tcPr>
          <w:p w14:paraId="033AE7E3">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A5B68A7">
            <w:pPr>
              <w:spacing w:after="40" w:line="259" w:lineRule="auto"/>
            </w:pPr>
            <w:r>
              <w:rPr>
                <w:rFonts w:ascii="Times New Roman" w:hAnsi="Times New Roman" w:eastAsia="微软雅黑"/>
                <w:b w:val="0"/>
                <w:color w:val="000000"/>
                <w:sz w:val="19"/>
              </w:rPr>
              <w:t>“Another approach”表示还有前一个新方案，故应在【E】后。</w:t>
            </w:r>
          </w:p>
        </w:tc>
      </w:tr>
      <w:tr w14:paraId="240C1F5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73E15CF0">
            <w:pPr>
              <w:spacing w:after="40" w:line="259" w:lineRule="auto"/>
            </w:pPr>
            <w:r>
              <w:rPr>
                <w:rFonts w:ascii="Times New Roman" w:hAnsi="Times New Roman" w:eastAsia="微软雅黑"/>
                <w:b w:val="0"/>
                <w:color w:val="000000"/>
                <w:sz w:val="19"/>
              </w:rPr>
              <w:t>D</w:t>
            </w:r>
          </w:p>
        </w:tc>
        <w:tc>
          <w:tcPr>
            <w:tcW w:w="1224" w:type="dxa"/>
          </w:tcPr>
          <w:p w14:paraId="4092E8AF">
            <w:pPr>
              <w:spacing w:after="40" w:line="259" w:lineRule="auto"/>
            </w:pPr>
            <w:r>
              <w:rPr>
                <w:rFonts w:ascii="Times New Roman" w:hAnsi="Times New Roman" w:eastAsia="微软雅黑"/>
                <w:b w:val="0"/>
                <w:color w:val="000000"/>
                <w:sz w:val="19"/>
              </w:rPr>
              <w:t>不能选</w:t>
            </w:r>
          </w:p>
        </w:tc>
        <w:tc>
          <w:tcPr>
            <w:tcW w:w="7344" w:type="dxa"/>
          </w:tcPr>
          <w:p w14:paraId="55CFC849">
            <w:pPr>
              <w:spacing w:after="40" w:line="259" w:lineRule="auto"/>
            </w:pPr>
            <w:r>
              <w:rPr>
                <w:rFonts w:ascii="Times New Roman" w:hAnsi="Times New Roman" w:eastAsia="微软雅黑"/>
                <w:b w:val="0"/>
                <w:color w:val="000000"/>
                <w:sz w:val="19"/>
              </w:rPr>
              <w:t>“still-further means”需要更多前置方案。</w:t>
            </w:r>
          </w:p>
        </w:tc>
      </w:tr>
      <w:tr w14:paraId="4118550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38D9BA5F">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0E67CB7D">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1950B126">
            <w:pPr>
              <w:spacing w:after="40" w:line="259" w:lineRule="auto"/>
            </w:pPr>
            <w:r>
              <w:rPr>
                <w:rFonts w:ascii="Times New Roman" w:hAnsi="Times New Roman" w:eastAsia="微软雅黑"/>
                <w:b w:val="0"/>
                <w:color w:val="000000"/>
                <w:sz w:val="19"/>
              </w:rPr>
              <w:t>从旧防护转入新防护，并开启方案序列。</w:t>
            </w:r>
          </w:p>
        </w:tc>
      </w:tr>
      <w:tr w14:paraId="4DEE6E3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B94140C">
            <w:pPr>
              <w:spacing w:after="40" w:line="259" w:lineRule="auto"/>
            </w:pPr>
            <w:r>
              <w:rPr>
                <w:rFonts w:ascii="Times New Roman" w:hAnsi="Times New Roman" w:eastAsia="微软雅黑"/>
                <w:b w:val="0"/>
                <w:color w:val="000000"/>
                <w:sz w:val="19"/>
              </w:rPr>
              <w:t>G</w:t>
            </w:r>
          </w:p>
        </w:tc>
        <w:tc>
          <w:tcPr>
            <w:tcW w:w="1224" w:type="dxa"/>
          </w:tcPr>
          <w:p w14:paraId="42FCF36F">
            <w:pPr>
              <w:spacing w:after="40" w:line="259" w:lineRule="auto"/>
            </w:pPr>
            <w:r>
              <w:rPr>
                <w:rFonts w:ascii="Times New Roman" w:hAnsi="Times New Roman" w:eastAsia="微软雅黑"/>
                <w:b w:val="0"/>
                <w:color w:val="000000"/>
                <w:sz w:val="19"/>
              </w:rPr>
              <w:t>不能选</w:t>
            </w:r>
          </w:p>
        </w:tc>
        <w:tc>
          <w:tcPr>
            <w:tcW w:w="7344" w:type="dxa"/>
          </w:tcPr>
          <w:p w14:paraId="2D0D21CA">
            <w:pPr>
              <w:spacing w:after="40" w:line="259" w:lineRule="auto"/>
            </w:pPr>
            <w:r>
              <w:rPr>
                <w:rFonts w:ascii="Times New Roman" w:hAnsi="Times New Roman" w:eastAsia="微软雅黑"/>
                <w:b w:val="0"/>
                <w:color w:val="000000"/>
                <w:sz w:val="19"/>
              </w:rPr>
              <w:t>测量段应先于方案讨论，不能插入方案链中间。</w:t>
            </w:r>
          </w:p>
        </w:tc>
      </w:tr>
    </w:tbl>
    <w:p w14:paraId="619892DA">
      <w:pPr>
        <w:spacing w:after="160" w:line="276" w:lineRule="auto"/>
      </w:pPr>
    </w:p>
    <w:p w14:paraId="56D7A81D">
      <w:pPr>
        <w:keepNext/>
        <w:spacing w:before="200" w:after="120"/>
      </w:pPr>
      <w:r>
        <w:rPr>
          <w:rFonts w:ascii="Times New Roman" w:hAnsi="Times New Roman" w:eastAsia="微软雅黑"/>
          <w:b/>
          <w:color w:val="000000"/>
          <w:sz w:val="23"/>
        </w:rPr>
        <w:t>44.【答案】C</w:t>
      </w:r>
    </w:p>
    <w:p w14:paraId="119A1693">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空位44；空位45前。</w:t>
      </w:r>
    </w:p>
    <w:p w14:paraId="7B7659FD">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【C】的“Another approach”承接【E】已经给出的 composite tiles；3D打印产生的 internal cavities 被称为 small Whipple shields，说明它在旧概念基础上继续创新，并为【D】的 repeated shocks 递进做铺垫。</w:t>
      </w:r>
    </w:p>
    <w:p w14:paraId="67C717A3">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38AF9BF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708FD4B1">
            <w:pPr>
              <w:spacing w:after="40"/>
            </w:pPr>
            <w:r>
              <w:rPr>
                <w:rFonts w:ascii="Times New Roman" w:hAnsi="Times New Roman" w:eastAsia="微软雅黑"/>
                <w:b/>
                <w:color w:val="FFFFFF"/>
                <w:sz w:val="20"/>
              </w:rPr>
              <w:t>选项</w:t>
            </w:r>
          </w:p>
        </w:tc>
        <w:tc>
          <w:tcPr>
            <w:tcW w:w="1224" w:type="dxa"/>
            <w:shd w:val="clear" w:color="auto" w:fill="1F4E79"/>
          </w:tcPr>
          <w:p w14:paraId="441C4233">
            <w:pPr>
              <w:spacing w:after="40"/>
            </w:pPr>
            <w:r>
              <w:rPr>
                <w:rFonts w:ascii="Times New Roman" w:hAnsi="Times New Roman" w:eastAsia="微软雅黑"/>
                <w:b/>
                <w:color w:val="FFFFFF"/>
                <w:sz w:val="20"/>
              </w:rPr>
              <w:t>判断</w:t>
            </w:r>
          </w:p>
        </w:tc>
        <w:tc>
          <w:tcPr>
            <w:tcW w:w="7344" w:type="dxa"/>
            <w:shd w:val="clear" w:color="auto" w:fill="1F4E79"/>
          </w:tcPr>
          <w:p w14:paraId="42B21A43">
            <w:pPr>
              <w:spacing w:after="40"/>
            </w:pPr>
            <w:r>
              <w:rPr>
                <w:rFonts w:ascii="Times New Roman" w:hAnsi="Times New Roman" w:eastAsia="微软雅黑"/>
                <w:b/>
                <w:color w:val="FFFFFF"/>
                <w:sz w:val="20"/>
              </w:rPr>
              <w:t>理由</w:t>
            </w:r>
          </w:p>
        </w:tc>
      </w:tr>
      <w:tr w14:paraId="255675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1434C50">
            <w:pPr>
              <w:spacing w:after="40" w:line="259" w:lineRule="auto"/>
            </w:pPr>
            <w:r>
              <w:rPr>
                <w:rFonts w:ascii="Times New Roman" w:hAnsi="Times New Roman" w:eastAsia="微软雅黑"/>
                <w:b w:val="0"/>
                <w:color w:val="000000"/>
                <w:sz w:val="19"/>
              </w:rPr>
              <w:t>A</w:t>
            </w:r>
          </w:p>
        </w:tc>
        <w:tc>
          <w:tcPr>
            <w:tcW w:w="1224" w:type="dxa"/>
          </w:tcPr>
          <w:p w14:paraId="18FBCC1C">
            <w:pPr>
              <w:spacing w:after="40" w:line="259" w:lineRule="auto"/>
            </w:pPr>
            <w:r>
              <w:rPr>
                <w:rFonts w:ascii="Times New Roman" w:hAnsi="Times New Roman" w:eastAsia="微软雅黑"/>
                <w:b w:val="0"/>
                <w:color w:val="000000"/>
                <w:sz w:val="19"/>
              </w:rPr>
              <w:t>不能选</w:t>
            </w:r>
          </w:p>
        </w:tc>
        <w:tc>
          <w:tcPr>
            <w:tcW w:w="7344" w:type="dxa"/>
          </w:tcPr>
          <w:p w14:paraId="357F57EE">
            <w:pPr>
              <w:spacing w:after="40" w:line="259" w:lineRule="auto"/>
            </w:pPr>
            <w:r>
              <w:rPr>
                <w:rFonts w:ascii="Times New Roman" w:hAnsi="Times New Roman" w:eastAsia="微软雅黑"/>
                <w:b w:val="0"/>
                <w:color w:val="000000"/>
                <w:sz w:val="19"/>
              </w:rPr>
              <w:t>传统方案已由【A】完成，不能打断新方案序列。</w:t>
            </w:r>
          </w:p>
        </w:tc>
      </w:tr>
      <w:tr w14:paraId="5C07F8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5F9370F">
            <w:pPr>
              <w:spacing w:after="40" w:line="259" w:lineRule="auto"/>
            </w:pPr>
            <w:r>
              <w:rPr>
                <w:rFonts w:ascii="Times New Roman" w:hAnsi="Times New Roman" w:eastAsia="微软雅黑"/>
                <w:b w:val="0"/>
                <w:color w:val="000000"/>
                <w:sz w:val="19"/>
              </w:rPr>
              <w:t>C</w:t>
            </w:r>
          </w:p>
        </w:tc>
        <w:tc>
          <w:tcPr>
            <w:tcW w:w="1224" w:type="dxa"/>
            <w:shd w:val="clear" w:color="auto" w:fill="EAF2F8"/>
          </w:tcPr>
          <w:p w14:paraId="0A34C842">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13C74F98">
            <w:pPr>
              <w:spacing w:after="40" w:line="259" w:lineRule="auto"/>
            </w:pPr>
            <w:r>
              <w:rPr>
                <w:rFonts w:ascii="Times New Roman" w:hAnsi="Times New Roman" w:eastAsia="微软雅黑"/>
                <w:b w:val="0"/>
                <w:color w:val="000000"/>
                <w:sz w:val="19"/>
              </w:rPr>
              <w:t>用“Another approach”承接第一类新方案。</w:t>
            </w:r>
          </w:p>
        </w:tc>
      </w:tr>
      <w:tr w14:paraId="14B4ECA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7A25ADD">
            <w:pPr>
              <w:spacing w:after="40" w:line="259" w:lineRule="auto"/>
            </w:pPr>
            <w:r>
              <w:rPr>
                <w:rFonts w:ascii="Times New Roman" w:hAnsi="Times New Roman" w:eastAsia="微软雅黑"/>
                <w:b w:val="0"/>
                <w:color w:val="000000"/>
                <w:sz w:val="19"/>
              </w:rPr>
              <w:t>D</w:t>
            </w:r>
          </w:p>
        </w:tc>
        <w:tc>
          <w:tcPr>
            <w:tcW w:w="1224" w:type="dxa"/>
          </w:tcPr>
          <w:p w14:paraId="74EBDAEA">
            <w:pPr>
              <w:spacing w:after="40" w:line="259" w:lineRule="auto"/>
            </w:pPr>
            <w:r>
              <w:rPr>
                <w:rFonts w:ascii="Times New Roman" w:hAnsi="Times New Roman" w:eastAsia="微软雅黑"/>
                <w:b w:val="0"/>
                <w:color w:val="000000"/>
                <w:sz w:val="19"/>
              </w:rPr>
              <w:t>不能选</w:t>
            </w:r>
          </w:p>
        </w:tc>
        <w:tc>
          <w:tcPr>
            <w:tcW w:w="7344" w:type="dxa"/>
          </w:tcPr>
          <w:p w14:paraId="180AB807">
            <w:pPr>
              <w:spacing w:after="40" w:line="259" w:lineRule="auto"/>
            </w:pPr>
            <w:r>
              <w:rPr>
                <w:rFonts w:ascii="Times New Roman" w:hAnsi="Times New Roman" w:eastAsia="微软雅黑"/>
                <w:b w:val="0"/>
                <w:color w:val="000000"/>
                <w:sz w:val="19"/>
              </w:rPr>
              <w:t>“still-further”表示更后一层递进，应放在【C】后。</w:t>
            </w:r>
          </w:p>
        </w:tc>
      </w:tr>
      <w:tr w14:paraId="753E782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D3DCA6B">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43B87125">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7292FE4">
            <w:pPr>
              <w:spacing w:after="40" w:line="259" w:lineRule="auto"/>
            </w:pPr>
            <w:r>
              <w:rPr>
                <w:rFonts w:ascii="Times New Roman" w:hAnsi="Times New Roman" w:eastAsia="微软雅黑"/>
                <w:b w:val="0"/>
                <w:color w:val="000000"/>
                <w:sz w:val="19"/>
              </w:rPr>
              <w:t>复合瓦是第一类新方案，不能重复插入。</w:t>
            </w:r>
          </w:p>
        </w:tc>
      </w:tr>
      <w:tr w14:paraId="353306E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81B7DC2">
            <w:pPr>
              <w:spacing w:after="40" w:line="259" w:lineRule="auto"/>
            </w:pPr>
            <w:r>
              <w:rPr>
                <w:rFonts w:ascii="Times New Roman" w:hAnsi="Times New Roman" w:eastAsia="微软雅黑"/>
                <w:b w:val="0"/>
                <w:color w:val="000000"/>
                <w:sz w:val="19"/>
              </w:rPr>
              <w:t>G</w:t>
            </w:r>
          </w:p>
        </w:tc>
        <w:tc>
          <w:tcPr>
            <w:tcW w:w="1224" w:type="dxa"/>
          </w:tcPr>
          <w:p w14:paraId="66D64397">
            <w:pPr>
              <w:spacing w:after="40" w:line="259" w:lineRule="auto"/>
            </w:pPr>
            <w:r>
              <w:rPr>
                <w:rFonts w:ascii="Times New Roman" w:hAnsi="Times New Roman" w:eastAsia="微软雅黑"/>
                <w:b w:val="0"/>
                <w:color w:val="000000"/>
                <w:sz w:val="19"/>
              </w:rPr>
              <w:t>不能选</w:t>
            </w:r>
          </w:p>
        </w:tc>
        <w:tc>
          <w:tcPr>
            <w:tcW w:w="7344" w:type="dxa"/>
          </w:tcPr>
          <w:p w14:paraId="55826A39">
            <w:pPr>
              <w:spacing w:after="40" w:line="259" w:lineRule="auto"/>
            </w:pPr>
            <w:r>
              <w:rPr>
                <w:rFonts w:ascii="Times New Roman" w:hAnsi="Times New Roman" w:eastAsia="微软雅黑"/>
                <w:b w:val="0"/>
                <w:color w:val="000000"/>
                <w:sz w:val="19"/>
              </w:rPr>
              <w:t>测量段应在方案链之前或总结处回响，不宜插在C/D之间。</w:t>
            </w:r>
          </w:p>
        </w:tc>
      </w:tr>
    </w:tbl>
    <w:p w14:paraId="29C6FA2D">
      <w:pPr>
        <w:spacing w:after="160" w:line="276" w:lineRule="auto"/>
      </w:pPr>
    </w:p>
    <w:p w14:paraId="2C66540B">
      <w:pPr>
        <w:keepNext/>
        <w:spacing w:before="200" w:after="120"/>
      </w:pPr>
      <w:r>
        <w:rPr>
          <w:rFonts w:ascii="Times New Roman" w:hAnsi="Times New Roman" w:eastAsia="微软雅黑"/>
          <w:b/>
          <w:color w:val="000000"/>
          <w:sz w:val="23"/>
        </w:rPr>
        <w:t>45.【答案】D</w:t>
      </w:r>
    </w:p>
    <w:p w14:paraId="41727C58">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空位45；固定段F之前。</w:t>
      </w:r>
    </w:p>
    <w:p w14:paraId="32AEF56E">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【D】的“A still-further means”是全链最强的递进信号，说明铝泡沫以连续冲击模拟 Whipple shield；它承接【C】的空腔设计，并把方案推进到 F段“this repertoire of shielding types”的总结。</w:t>
      </w:r>
    </w:p>
    <w:p w14:paraId="0A57D522">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5EABF8A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130E17AA">
            <w:pPr>
              <w:spacing w:after="40"/>
            </w:pPr>
            <w:r>
              <w:rPr>
                <w:rFonts w:ascii="Times New Roman" w:hAnsi="Times New Roman" w:eastAsia="微软雅黑"/>
                <w:b/>
                <w:color w:val="FFFFFF"/>
                <w:sz w:val="20"/>
              </w:rPr>
              <w:t>选项</w:t>
            </w:r>
          </w:p>
        </w:tc>
        <w:tc>
          <w:tcPr>
            <w:tcW w:w="1224" w:type="dxa"/>
            <w:shd w:val="clear" w:color="auto" w:fill="1F4E79"/>
          </w:tcPr>
          <w:p w14:paraId="19DB1A4F">
            <w:pPr>
              <w:spacing w:after="40"/>
            </w:pPr>
            <w:r>
              <w:rPr>
                <w:rFonts w:ascii="Times New Roman" w:hAnsi="Times New Roman" w:eastAsia="微软雅黑"/>
                <w:b/>
                <w:color w:val="FFFFFF"/>
                <w:sz w:val="20"/>
              </w:rPr>
              <w:t>判断</w:t>
            </w:r>
          </w:p>
        </w:tc>
        <w:tc>
          <w:tcPr>
            <w:tcW w:w="7344" w:type="dxa"/>
            <w:shd w:val="clear" w:color="auto" w:fill="1F4E79"/>
          </w:tcPr>
          <w:p w14:paraId="326368AD">
            <w:pPr>
              <w:spacing w:after="40"/>
            </w:pPr>
            <w:r>
              <w:rPr>
                <w:rFonts w:ascii="Times New Roman" w:hAnsi="Times New Roman" w:eastAsia="微软雅黑"/>
                <w:b/>
                <w:color w:val="FFFFFF"/>
                <w:sz w:val="20"/>
              </w:rPr>
              <w:t>理由</w:t>
            </w:r>
          </w:p>
        </w:tc>
      </w:tr>
      <w:tr w14:paraId="35744FA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1B0141D">
            <w:pPr>
              <w:spacing w:after="40" w:line="259" w:lineRule="auto"/>
            </w:pPr>
            <w:r>
              <w:rPr>
                <w:rFonts w:ascii="Times New Roman" w:hAnsi="Times New Roman" w:eastAsia="微软雅黑"/>
                <w:b w:val="0"/>
                <w:color w:val="000000"/>
                <w:sz w:val="19"/>
              </w:rPr>
              <w:t>A</w:t>
            </w:r>
          </w:p>
        </w:tc>
        <w:tc>
          <w:tcPr>
            <w:tcW w:w="1224" w:type="dxa"/>
          </w:tcPr>
          <w:p w14:paraId="239932B2">
            <w:pPr>
              <w:spacing w:after="40" w:line="259" w:lineRule="auto"/>
            </w:pPr>
            <w:r>
              <w:rPr>
                <w:rFonts w:ascii="Times New Roman" w:hAnsi="Times New Roman" w:eastAsia="微软雅黑"/>
                <w:b w:val="0"/>
                <w:color w:val="000000"/>
                <w:sz w:val="19"/>
              </w:rPr>
              <w:t>不能选</w:t>
            </w:r>
          </w:p>
        </w:tc>
        <w:tc>
          <w:tcPr>
            <w:tcW w:w="7344" w:type="dxa"/>
          </w:tcPr>
          <w:p w14:paraId="2348CE89">
            <w:pPr>
              <w:spacing w:after="40" w:line="259" w:lineRule="auto"/>
            </w:pPr>
            <w:r>
              <w:rPr>
                <w:rFonts w:ascii="Times New Roman" w:hAnsi="Times New Roman" w:eastAsia="微软雅黑"/>
                <w:b w:val="0"/>
                <w:color w:val="000000"/>
                <w:sz w:val="19"/>
              </w:rPr>
              <w:t>传统方案不能作为最后一项新方案。</w:t>
            </w:r>
          </w:p>
        </w:tc>
      </w:tr>
      <w:tr w14:paraId="425938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79042C17">
            <w:pPr>
              <w:spacing w:after="40" w:line="259" w:lineRule="auto"/>
            </w:pPr>
            <w:r>
              <w:rPr>
                <w:rFonts w:ascii="Times New Roman" w:hAnsi="Times New Roman" w:eastAsia="微软雅黑"/>
                <w:b w:val="0"/>
                <w:color w:val="000000"/>
                <w:sz w:val="19"/>
              </w:rPr>
              <w:t>C</w:t>
            </w:r>
          </w:p>
        </w:tc>
        <w:tc>
          <w:tcPr>
            <w:tcW w:w="1224" w:type="dxa"/>
            <w:shd w:val="clear" w:color="auto" w:fill="EAF2F8"/>
          </w:tcPr>
          <w:p w14:paraId="07114689">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05BDDFA">
            <w:pPr>
              <w:spacing w:after="40" w:line="259" w:lineRule="auto"/>
            </w:pPr>
            <w:r>
              <w:rPr>
                <w:rFonts w:ascii="Times New Roman" w:hAnsi="Times New Roman" w:eastAsia="微软雅黑"/>
                <w:b w:val="0"/>
                <w:color w:val="000000"/>
                <w:sz w:val="19"/>
              </w:rPr>
              <w:t>“Another approach”的递进程度弱于“still-further”。</w:t>
            </w:r>
          </w:p>
        </w:tc>
      </w:tr>
      <w:tr w14:paraId="15A8F74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7788AF8">
            <w:pPr>
              <w:spacing w:after="40" w:line="259" w:lineRule="auto"/>
            </w:pPr>
            <w:r>
              <w:rPr>
                <w:rFonts w:ascii="Times New Roman" w:hAnsi="Times New Roman" w:eastAsia="微软雅黑"/>
                <w:b w:val="0"/>
                <w:color w:val="000000"/>
                <w:sz w:val="19"/>
              </w:rPr>
              <w:t>D</w:t>
            </w:r>
          </w:p>
        </w:tc>
        <w:tc>
          <w:tcPr>
            <w:tcW w:w="1224" w:type="dxa"/>
          </w:tcPr>
          <w:p w14:paraId="1A2B00F7">
            <w:pPr>
              <w:spacing w:after="40" w:line="259" w:lineRule="auto"/>
            </w:pPr>
            <w:r>
              <w:rPr>
                <w:rFonts w:ascii="Times New Roman" w:hAnsi="Times New Roman" w:eastAsia="微软雅黑"/>
                <w:b w:val="0"/>
                <w:color w:val="000000"/>
                <w:sz w:val="19"/>
              </w:rPr>
              <w:t>正确</w:t>
            </w:r>
          </w:p>
        </w:tc>
        <w:tc>
          <w:tcPr>
            <w:tcW w:w="7344" w:type="dxa"/>
          </w:tcPr>
          <w:p w14:paraId="48E70121">
            <w:pPr>
              <w:spacing w:after="40" w:line="259" w:lineRule="auto"/>
            </w:pPr>
            <w:r>
              <w:rPr>
                <w:rFonts w:ascii="Times New Roman" w:hAnsi="Times New Roman" w:eastAsia="微软雅黑"/>
                <w:b w:val="0"/>
                <w:color w:val="000000"/>
                <w:sz w:val="19"/>
              </w:rPr>
              <w:t>完成新方案递进，并直接通向总结段。</w:t>
            </w:r>
          </w:p>
        </w:tc>
      </w:tr>
      <w:tr w14:paraId="39989AB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3EE28EF">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6488815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455E793">
            <w:pPr>
              <w:spacing w:after="40" w:line="259" w:lineRule="auto"/>
            </w:pPr>
            <w:r>
              <w:rPr>
                <w:rFonts w:ascii="Times New Roman" w:hAnsi="Times New Roman" w:eastAsia="微软雅黑"/>
                <w:b w:val="0"/>
                <w:color w:val="000000"/>
                <w:sz w:val="19"/>
              </w:rPr>
              <w:t>复合瓦应出现在方案链起点。</w:t>
            </w:r>
          </w:p>
        </w:tc>
      </w:tr>
      <w:tr w14:paraId="384B193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78BE86DC">
            <w:pPr>
              <w:spacing w:after="40" w:line="259" w:lineRule="auto"/>
            </w:pPr>
            <w:r>
              <w:rPr>
                <w:rFonts w:ascii="Times New Roman" w:hAnsi="Times New Roman" w:eastAsia="微软雅黑"/>
                <w:b w:val="0"/>
                <w:color w:val="000000"/>
                <w:sz w:val="19"/>
              </w:rPr>
              <w:t>G</w:t>
            </w:r>
          </w:p>
        </w:tc>
        <w:tc>
          <w:tcPr>
            <w:tcW w:w="1224" w:type="dxa"/>
          </w:tcPr>
          <w:p w14:paraId="296AE018">
            <w:pPr>
              <w:spacing w:after="40" w:line="259" w:lineRule="auto"/>
            </w:pPr>
            <w:r>
              <w:rPr>
                <w:rFonts w:ascii="Times New Roman" w:hAnsi="Times New Roman" w:eastAsia="微软雅黑"/>
                <w:b w:val="0"/>
                <w:color w:val="000000"/>
                <w:sz w:val="19"/>
              </w:rPr>
              <w:t>不能选</w:t>
            </w:r>
          </w:p>
        </w:tc>
        <w:tc>
          <w:tcPr>
            <w:tcW w:w="7344" w:type="dxa"/>
          </w:tcPr>
          <w:p w14:paraId="705D5ABF">
            <w:pPr>
              <w:spacing w:after="40" w:line="259" w:lineRule="auto"/>
            </w:pPr>
            <w:r>
              <w:rPr>
                <w:rFonts w:ascii="Times New Roman" w:hAnsi="Times New Roman" w:eastAsia="微软雅黑"/>
                <w:b w:val="0"/>
                <w:color w:val="000000"/>
                <w:sz w:val="19"/>
              </w:rPr>
              <w:t>G段内容虽在F段回响，但不能替代最后的新方案。</w:t>
            </w:r>
          </w:p>
        </w:tc>
      </w:tr>
    </w:tbl>
    <w:p w14:paraId="64967E70">
      <w:pPr>
        <w:spacing w:after="160" w:line="276" w:lineRule="auto"/>
      </w:pPr>
    </w:p>
    <w:p w14:paraId="55CF68DB">
      <w:pPr>
        <w:keepNext/>
        <w:spacing w:before="200" w:after="120"/>
      </w:pPr>
      <w:r>
        <w:rPr>
          <w:rFonts w:ascii="Times New Roman" w:hAnsi="Times New Roman" w:eastAsia="微软雅黑"/>
          <w:b/>
          <w:color w:val="000000"/>
          <w:sz w:val="24"/>
        </w:rPr>
        <w:t>干扰项设置</w:t>
      </w:r>
    </w:p>
    <w:p w14:paraId="1254E32B">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本题主要使用概念前置限制和递进词错位。Whipple shield 必须先由【A】定义；【C】的“Another”要求【E】在前；【D】的“still-further”要求更多方案已经出现。Odin Space 在【G】和固定段F中形成首尾呼应，容易诱导考生把它后置过晚。</w:t>
      </w:r>
    </w:p>
    <w:p w14:paraId="38C6DD4B">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6A14CA47">
      <w:pPr>
        <w:spacing w:after="160" w:line="276" w:lineRule="auto"/>
        <w:rPr>
          <w:rFonts w:ascii="Times New Roman" w:hAnsi="Times New Roman" w:eastAsia="微软雅黑"/>
          <w:b w:val="0"/>
          <w:color w:val="000000"/>
          <w:sz w:val="21"/>
        </w:rPr>
      </w:pP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1A02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2243</Words>
  <Characters>5679</Characters>
  <Lines>0</Lines>
  <Paragraphs>0</Paragraphs>
  <TotalTime>0</TotalTime>
  <ScaleCrop>false</ScaleCrop>
  <LinksUpToDate>false</LinksUpToDate>
  <CharactersWithSpaces>6527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2026-09-13T15:09:16Z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0C09492DB8E74FEBACCC42C2DEC5667C_12</vt:lpwstr>
  </property>
</Properties>
</file>