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B5767">
      <w:pPr>
        <w:keepNext/>
        <w:spacing w:before="200" w:after="120"/>
      </w:pPr>
      <w:r>
        <w:rPr>
          <w:rFonts w:ascii="Times New Roman" w:hAnsi="Times New Roman" w:eastAsia="微软雅黑"/>
          <w:b/>
          <w:color w:val="000000"/>
          <w:sz w:val="26"/>
        </w:rPr>
        <w:t>Part B</w:t>
      </w:r>
    </w:p>
    <w:p w14:paraId="7136EB18">
      <w:pPr>
        <w:spacing w:after="60" w:line="276" w:lineRule="auto"/>
      </w:pPr>
      <w:r>
        <w:rPr>
          <w:rFonts w:ascii="Times New Roman" w:hAnsi="Times New Roman" w:eastAsia="微软雅黑"/>
          <w:b/>
          <w:color w:val="000000"/>
          <w:sz w:val="21"/>
        </w:rPr>
        <w:t>Directions:</w:t>
      </w:r>
    </w:p>
    <w:p w14:paraId="10A7CA88">
      <w:pPr>
        <w:spacing w:after="240" w:line="276" w:lineRule="auto"/>
      </w:pPr>
      <w:r>
        <w:rPr>
          <w:rFonts w:ascii="Times New Roman" w:hAnsi="Times New Roman" w:eastAsia="微软雅黑"/>
          <w:b w:val="0"/>
          <w:color w:val="000000"/>
          <w:sz w:val="21"/>
        </w:rPr>
        <w:t>The following paragraphs are given in a wrong order. For Questions 41-45, you are required to reorganize these paragraphs into a coherent text by choosing from the list A-G and filling them into the numbered boxes. Paragraphs B and D have been correctly placed. Mark your answers on the ANSWER SHEET. (10 points)</w:t>
      </w:r>
    </w:p>
    <w:p w14:paraId="5D36EA8C">
      <w:pPr>
        <w:spacing w:after="120" w:line="278" w:lineRule="auto"/>
      </w:pPr>
      <w:r>
        <w:rPr>
          <w:rFonts w:ascii="Times New Roman" w:hAnsi="Times New Roman" w:eastAsia="微软雅黑"/>
          <w:b/>
          <w:color w:val="000000"/>
          <w:sz w:val="21"/>
        </w:rPr>
        <w:t xml:space="preserve">[A] </w:t>
      </w:r>
      <w:r>
        <w:rPr>
          <w:rFonts w:ascii="Times New Roman" w:hAnsi="Times New Roman" w:eastAsia="微软雅黑"/>
          <w:b w:val="0"/>
          <w:color w:val="000000"/>
          <w:sz w:val="21"/>
        </w:rPr>
        <w:t>Gébler said his mother endured many hostile reviews, initially by critics who deemed her work “unseemly” and later by others who disliked her forays into the lives of historical figures such as James Joyce’s muse and wife, Nora Barnacle, or the kidnapping of girls in Nigeria. “Her fiction changed its register, but the world isn’t very sympathetic to that. It’s kind of: ‘It’s not your gig, madam.’”</w:t>
      </w:r>
    </w:p>
    <w:p w14:paraId="6FD9C974">
      <w:pPr>
        <w:spacing w:after="120" w:line="278" w:lineRule="auto"/>
      </w:pPr>
      <w:r>
        <w:rPr>
          <w:rFonts w:ascii="Times New Roman" w:hAnsi="Times New Roman" w:eastAsia="微软雅黑"/>
          <w:b/>
          <w:color w:val="000000"/>
          <w:sz w:val="21"/>
        </w:rPr>
        <w:t xml:space="preserve">[B] </w:t>
      </w:r>
      <w:r>
        <w:rPr>
          <w:rFonts w:ascii="Times New Roman" w:hAnsi="Times New Roman" w:eastAsia="微软雅黑"/>
          <w:b w:val="0"/>
          <w:color w:val="000000"/>
          <w:sz w:val="21"/>
        </w:rPr>
        <w:t>In fact, his mother, the novelist Edna O’Brien, was still alive, but his mind insisted otherwise. “At that moment that’s what I believed. And then of course I stopped believing it because I knew it wasn’t true.” When O’Brien died days later in July 2024, at the age of 93, the literary world mourned the passing of a singular voice who had scandalised her native Ireland with depictions of female sexuality and blazed a trail for Irish writers.</w:t>
      </w:r>
    </w:p>
    <w:p w14:paraId="43E6A7A4">
      <w:pPr>
        <w:spacing w:after="120" w:line="278" w:lineRule="auto"/>
      </w:pPr>
      <w:r>
        <w:rPr>
          <w:rFonts w:ascii="Times New Roman" w:hAnsi="Times New Roman" w:eastAsia="微软雅黑"/>
          <w:b/>
          <w:color w:val="000000"/>
          <w:sz w:val="21"/>
        </w:rPr>
        <w:t xml:space="preserve">[C] </w:t>
      </w:r>
      <w:r>
        <w:rPr>
          <w:rFonts w:ascii="Times New Roman" w:hAnsi="Times New Roman" w:eastAsia="微软雅黑"/>
          <w:b w:val="0"/>
          <w:color w:val="000000"/>
          <w:sz w:val="21"/>
        </w:rPr>
        <w:t>Female desire and subversion populated her fiction decades before Ireland liberalised and legalised divorce, same-sex marriage and abortion, but that did not entitle Irish people to “co-opt” her memory for political ends, said Gébler. “In Ireland people want a narrative which emphasises the progressive journey, as if she planned all the political progress on the back of an envelope.</w:t>
      </w:r>
    </w:p>
    <w:p w14:paraId="3855F69B">
      <w:pPr>
        <w:spacing w:after="120" w:line="278" w:lineRule="auto"/>
      </w:pPr>
      <w:r>
        <w:rPr>
          <w:rFonts w:ascii="Times New Roman" w:hAnsi="Times New Roman" w:eastAsia="微软雅黑"/>
          <w:b/>
          <w:color w:val="000000"/>
          <w:sz w:val="21"/>
        </w:rPr>
        <w:t xml:space="preserve">[D] </w:t>
      </w:r>
      <w:r>
        <w:rPr>
          <w:rFonts w:ascii="Times New Roman" w:hAnsi="Times New Roman" w:eastAsia="微软雅黑"/>
          <w:b w:val="0"/>
          <w:color w:val="000000"/>
          <w:sz w:val="21"/>
        </w:rPr>
        <w:t>For Gébler, however, her passing brought loss, confusion and dread. “The awful thing about a parent’s death is that you move up to the cliff edge. Once they’re gone, you know you’re next. And then you start to have all sorts of terrible thoughts. Why did I do this to my children? They didn’t ask to be born and then they too are going to die.”</w:t>
      </w:r>
    </w:p>
    <w:p w14:paraId="1C1C294E">
      <w:pPr>
        <w:spacing w:after="120" w:line="278" w:lineRule="auto"/>
      </w:pPr>
      <w:r>
        <w:rPr>
          <w:rFonts w:ascii="Times New Roman" w:hAnsi="Times New Roman" w:eastAsia="微软雅黑"/>
          <w:b/>
          <w:color w:val="000000"/>
          <w:sz w:val="21"/>
        </w:rPr>
        <w:t xml:space="preserve">[E] </w:t>
      </w:r>
      <w:r>
        <w:rPr>
          <w:rFonts w:ascii="Times New Roman" w:hAnsi="Times New Roman" w:eastAsia="微软雅黑"/>
          <w:b w:val="0"/>
          <w:color w:val="000000"/>
          <w:sz w:val="21"/>
        </w:rPr>
        <w:t>The posthumous acclaim for his mother validated the morbid joke about death being a great career move, said Gébler. “A living writer is sometimes overlooked because there’s so much other noise, but death is an even bigger noise, so you can get people’s distracted attention.”</w:t>
      </w:r>
    </w:p>
    <w:p w14:paraId="16A868B8">
      <w:pPr>
        <w:spacing w:after="120" w:line="278" w:lineRule="auto"/>
      </w:pPr>
      <w:r>
        <w:rPr>
          <w:rFonts w:ascii="Times New Roman" w:hAnsi="Times New Roman" w:eastAsia="微软雅黑"/>
          <w:b/>
          <w:color w:val="000000"/>
          <w:sz w:val="21"/>
        </w:rPr>
        <w:t xml:space="preserve">[F] </w:t>
      </w:r>
      <w:r>
        <w:rPr>
          <w:rFonts w:ascii="Times New Roman" w:hAnsi="Times New Roman" w:eastAsia="微软雅黑"/>
          <w:b w:val="0"/>
          <w:color w:val="000000"/>
          <w:sz w:val="21"/>
        </w:rPr>
        <w:t>O’Brien escaped a stifling and conservative upbringing in County Clare by moving to Dublin and eloping with Ernest Gébler, an Irish-Czech writer, to England, where they raised two sons, Carlo and Sasha, before divorcing. The Country Girls, published in 1960, established her reputation, launching her image as a glamorous public persona in London: a convent-educated rebel who befriended Hollywood stars while writing novels, biographies, plays and poetry.</w:t>
      </w:r>
    </w:p>
    <w:p w14:paraId="46737AC4">
      <w:pPr>
        <w:spacing w:after="120" w:line="278" w:lineRule="auto"/>
      </w:pPr>
      <w:r>
        <w:rPr>
          <w:rFonts w:ascii="Times New Roman" w:hAnsi="Times New Roman" w:eastAsia="微软雅黑"/>
          <w:b/>
          <w:color w:val="000000"/>
          <w:sz w:val="21"/>
        </w:rPr>
        <w:t xml:space="preserve">[G] </w:t>
      </w:r>
      <w:r>
        <w:rPr>
          <w:rFonts w:ascii="Times New Roman" w:hAnsi="Times New Roman" w:eastAsia="微软雅黑"/>
          <w:b w:val="0"/>
          <w:color w:val="000000"/>
          <w:sz w:val="21"/>
        </w:rPr>
        <w:t>Now her son has produced a chronicle of O’Brien’s final years, a twilight marked by her struggle to keep working despite illness and frailty, and of the impact of her death on his own life. Published this Friday, No One Tells You: The Last Years of Edna O’Brien documents the writer’s doomed battle to complete a final book about TS Eliot as age and infirmity sapped her powers.</w:t>
      </w:r>
    </w:p>
    <w:p w14:paraId="04AB8A03">
      <w:pPr>
        <w:spacing w:after="120" w:line="276" w:lineRule="auto"/>
        <w:jc w:val="center"/>
      </w:pPr>
      <w:r>
        <w:rPr>
          <w:rFonts w:ascii="Times New Roman" w:hAnsi="Times New Roman" w:eastAsia="微软雅黑"/>
          <w:b/>
          <w:color w:val="000000"/>
          <w:sz w:val="21"/>
        </w:rPr>
        <w:t>B   |   41   |   42   |   43   |   44   |   45   |   D</w:t>
      </w:r>
    </w:p>
    <w:p w14:paraId="0637E97C">
      <w:r>
        <w:br w:type="page"/>
      </w:r>
    </w:p>
    <w:p w14:paraId="1C8A0443">
      <w:pPr>
        <w:keepNext/>
        <w:spacing w:before="280" w:after="120"/>
      </w:pPr>
      <w:r>
        <w:rPr>
          <w:rFonts w:ascii="Times New Roman" w:hAnsi="Times New Roman" w:eastAsia="微软雅黑"/>
          <w:b/>
          <w:color w:val="000000"/>
          <w:sz w:val="28"/>
        </w:rPr>
        <w:t>答案与解析</w:t>
      </w:r>
    </w:p>
    <w:p w14:paraId="7EF0C306">
      <w:pPr>
        <w:keepNext/>
        <w:spacing w:before="200" w:after="120"/>
      </w:pPr>
      <w:r>
        <w:rPr>
          <w:rFonts w:ascii="Times New Roman" w:hAnsi="Times New Roman" w:eastAsia="微软雅黑"/>
          <w:b/>
          <w:color w:val="000000"/>
          <w:sz w:val="24"/>
        </w:rPr>
        <w:t>答案速查</w:t>
      </w:r>
    </w:p>
    <w:p w14:paraId="7844DBC4">
      <w:pPr>
        <w:spacing w:after="200" w:line="276" w:lineRule="auto"/>
      </w:pPr>
      <w:r>
        <w:rPr>
          <w:rFonts w:ascii="Times New Roman" w:hAnsi="Times New Roman" w:eastAsia="微软雅黑"/>
          <w:b/>
          <w:color w:val="000000"/>
          <w:sz w:val="21"/>
        </w:rPr>
        <w:t>41. G    42. F    43. C    44. A    45. E</w:t>
      </w:r>
    </w:p>
    <w:p w14:paraId="17802695">
      <w:pPr>
        <w:keepNext/>
        <w:spacing w:before="200" w:after="120"/>
      </w:pPr>
      <w:r>
        <w:rPr>
          <w:rFonts w:ascii="Times New Roman" w:hAnsi="Times New Roman" w:eastAsia="微软雅黑"/>
          <w:b/>
          <w:color w:val="000000"/>
          <w:sz w:val="24"/>
        </w:rPr>
        <w:t>文章与命题分析</w:t>
      </w:r>
    </w:p>
    <w:p w14:paraId="27B9319D">
      <w:pPr>
        <w:spacing w:after="80" w:line="276" w:lineRule="auto"/>
      </w:pPr>
      <w:r>
        <w:rPr>
          <w:rFonts w:ascii="Times New Roman" w:hAnsi="Times New Roman" w:eastAsia="微软雅黑"/>
          <w:b w:val="0"/>
          <w:color w:val="000000"/>
          <w:sz w:val="21"/>
        </w:rPr>
        <w:t>文章主旨：本文围绕爱尔兰作家 Edna O’Brien 展开 既交代她的去世与文学影响，也介绍其子 Carlo Gébler 所写的回忆性新作，并回溯她的创作主题、社会争议与身后的评价。</w:t>
      </w:r>
    </w:p>
    <w:p w14:paraId="3A27207A">
      <w:pPr>
        <w:spacing w:after="80" w:line="276" w:lineRule="auto"/>
      </w:pPr>
      <w:r>
        <w:rPr>
          <w:rFonts w:ascii="Times New Roman" w:hAnsi="Times New Roman" w:eastAsia="微软雅黑"/>
          <w:b w:val="0"/>
          <w:color w:val="000000"/>
          <w:sz w:val="21"/>
        </w:rPr>
        <w:t>结构脉络：B段交代死亡与文学界悼念 → G段引出儿子新作 → F段补充作家成长与成名背景 → C段集中分析其创作主题与社会意义 → A段写敌意评论 → E段写去世后声望上升 → D段转入儿子个人层面的丧失感。</w:t>
      </w:r>
    </w:p>
    <w:p w14:paraId="3119ED9E">
      <w:pPr>
        <w:spacing w:after="80" w:line="276" w:lineRule="auto"/>
      </w:pPr>
      <w:r>
        <w:rPr>
          <w:rFonts w:ascii="Times New Roman" w:hAnsi="Times New Roman" w:eastAsia="微软雅黑"/>
          <w:b w:val="0"/>
          <w:color w:val="000000"/>
          <w:sz w:val="21"/>
        </w:rPr>
        <w:t>题型适配：本文段与段之间有明确的时间、人物、评价与情感推进，适合段落排序。B段的死亡信息和D段的“however”构成天然锚点，其余段落可依据“作品背景→主题→争议→身后评价”的链条推出。</w:t>
      </w:r>
    </w:p>
    <w:p w14:paraId="61E4CDBE">
      <w:pPr>
        <w:spacing w:after="200" w:line="276" w:lineRule="auto"/>
      </w:pPr>
      <w:r>
        <w:rPr>
          <w:rFonts w:ascii="Times New Roman" w:hAnsi="Times New Roman" w:eastAsia="微软雅黑"/>
          <w:b w:val="0"/>
          <w:color w:val="000000"/>
          <w:sz w:val="21"/>
        </w:rPr>
        <w:t>解题入口：先固定 B 与 D；G段“Now her son…”最自然承接 B段死亡信息；再由 G段的“new chronicle”引出 F段生平背景，随后按文学评价推进。</w:t>
      </w:r>
    </w:p>
    <w:p w14:paraId="4784459C">
      <w:pPr>
        <w:keepNext/>
        <w:spacing w:before="200" w:after="120"/>
      </w:pPr>
      <w:r>
        <w:rPr>
          <w:rFonts w:ascii="Times New Roman" w:hAnsi="Times New Roman" w:eastAsia="微软雅黑"/>
          <w:b/>
          <w:color w:val="000000"/>
          <w:sz w:val="24"/>
        </w:rPr>
        <w:t>选项总览</w:t>
      </w:r>
    </w:p>
    <w:p w14:paraId="2F412417">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写母亲长期遭受敌意评论，属于“争议评价”段。</w:t>
      </w:r>
    </w:p>
    <w:p w14:paraId="5A99C0C7">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写女性欲望与反叛主题，并讨论爱尔兰社会变化，属于“创作主题”段。</w:t>
      </w:r>
    </w:p>
    <w:p w14:paraId="31981FC6">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写去世后获得的赞誉，属于“身后评价”段。</w:t>
      </w:r>
    </w:p>
    <w:p w14:paraId="0CC1792E">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写 O’Brien 的成长、出走、婚姻和成名，属于“背景介绍”段。</w:t>
      </w:r>
    </w:p>
    <w:p w14:paraId="6CCEF063">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写儿子出版新书记录母亲最后岁月，属于“由死讯转入新作”段。</w:t>
      </w:r>
    </w:p>
    <w:p w14:paraId="7AC8849C">
      <w:pPr>
        <w:spacing w:after="120" w:line="276" w:lineRule="auto"/>
      </w:pPr>
    </w:p>
    <w:p w14:paraId="3AA8ECD6">
      <w:pPr>
        <w:keepNext/>
        <w:spacing w:before="200" w:after="120"/>
      </w:pPr>
      <w:r>
        <w:rPr>
          <w:rFonts w:ascii="Times New Roman" w:hAnsi="Times New Roman" w:eastAsia="微软雅黑"/>
          <w:b/>
          <w:color w:val="000000"/>
          <w:sz w:val="23"/>
        </w:rPr>
        <w:t>41.【答案】G</w:t>
      </w:r>
    </w:p>
    <w:p w14:paraId="6A2045E1">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B段末句与空位41；空位42前。</w:t>
      </w:r>
    </w:p>
    <w:p w14:paraId="40351832">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B段已经交代 O’Brien 去世和文学界悼念，【G】首句“Now her son has produced a chronicle…”中的“Now”承接死亡事件，“her son”回指前文人物关系，并引出关于其最后岁月的新书。这样，文章由“作家去世”进入“儿子记录并反思母亲最后阶段”的中心话题。</w:t>
      </w:r>
    </w:p>
    <w:p w14:paraId="72459928">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17A7F17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598003D2">
            <w:pPr>
              <w:spacing w:after="40"/>
            </w:pPr>
            <w:r>
              <w:rPr>
                <w:rFonts w:ascii="Times New Roman" w:hAnsi="Times New Roman" w:eastAsia="微软雅黑"/>
                <w:b/>
                <w:color w:val="FFFFFF"/>
                <w:sz w:val="20"/>
              </w:rPr>
              <w:t>选项</w:t>
            </w:r>
          </w:p>
        </w:tc>
        <w:tc>
          <w:tcPr>
            <w:tcW w:w="1224" w:type="dxa"/>
            <w:shd w:val="clear" w:color="auto" w:fill="1F4E79"/>
          </w:tcPr>
          <w:p w14:paraId="47EE6869">
            <w:pPr>
              <w:spacing w:after="40"/>
            </w:pPr>
            <w:r>
              <w:rPr>
                <w:rFonts w:ascii="Times New Roman" w:hAnsi="Times New Roman" w:eastAsia="微软雅黑"/>
                <w:b/>
                <w:color w:val="FFFFFF"/>
                <w:sz w:val="20"/>
              </w:rPr>
              <w:t>判断</w:t>
            </w:r>
          </w:p>
        </w:tc>
        <w:tc>
          <w:tcPr>
            <w:tcW w:w="7344" w:type="dxa"/>
            <w:shd w:val="clear" w:color="auto" w:fill="1F4E79"/>
          </w:tcPr>
          <w:p w14:paraId="53C5DB10">
            <w:pPr>
              <w:spacing w:after="40"/>
            </w:pPr>
            <w:r>
              <w:rPr>
                <w:rFonts w:ascii="Times New Roman" w:hAnsi="Times New Roman" w:eastAsia="微软雅黑"/>
                <w:b/>
                <w:color w:val="FFFFFF"/>
                <w:sz w:val="20"/>
              </w:rPr>
              <w:t>理由</w:t>
            </w:r>
          </w:p>
        </w:tc>
      </w:tr>
      <w:tr w14:paraId="1755036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2E0DFCAC">
            <w:pPr>
              <w:spacing w:after="40" w:line="259" w:lineRule="auto"/>
            </w:pPr>
            <w:r>
              <w:rPr>
                <w:rFonts w:ascii="Times New Roman" w:hAnsi="Times New Roman" w:eastAsia="微软雅黑"/>
                <w:b w:val="0"/>
                <w:color w:val="000000"/>
                <w:sz w:val="19"/>
              </w:rPr>
              <w:t>G</w:t>
            </w:r>
          </w:p>
        </w:tc>
        <w:tc>
          <w:tcPr>
            <w:tcW w:w="1224" w:type="dxa"/>
          </w:tcPr>
          <w:p w14:paraId="6B862761">
            <w:pPr>
              <w:spacing w:after="40" w:line="259" w:lineRule="auto"/>
            </w:pPr>
            <w:r>
              <w:rPr>
                <w:rFonts w:ascii="Times New Roman" w:hAnsi="Times New Roman" w:eastAsia="微软雅黑"/>
                <w:b w:val="0"/>
                <w:color w:val="000000"/>
                <w:sz w:val="19"/>
              </w:rPr>
              <w:t>正确</w:t>
            </w:r>
          </w:p>
        </w:tc>
        <w:tc>
          <w:tcPr>
            <w:tcW w:w="7344" w:type="dxa"/>
          </w:tcPr>
          <w:p w14:paraId="0AE84F98">
            <w:pPr>
              <w:spacing w:after="40" w:line="259" w:lineRule="auto"/>
            </w:pPr>
            <w:r>
              <w:rPr>
                <w:rFonts w:ascii="Times New Roman" w:hAnsi="Times New Roman" w:eastAsia="微软雅黑"/>
                <w:b w:val="0"/>
                <w:color w:val="000000"/>
                <w:sz w:val="19"/>
              </w:rPr>
              <w:t>承接死亡与悼念，转入儿子的新作，形成“事件—回应”结构。</w:t>
            </w:r>
          </w:p>
        </w:tc>
      </w:tr>
      <w:tr w14:paraId="0A31FB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56BDA55B">
            <w:pPr>
              <w:spacing w:after="40" w:line="259" w:lineRule="auto"/>
            </w:pPr>
            <w:r>
              <w:rPr>
                <w:rFonts w:ascii="Times New Roman" w:hAnsi="Times New Roman" w:eastAsia="微软雅黑"/>
                <w:b w:val="0"/>
                <w:color w:val="000000"/>
                <w:sz w:val="19"/>
              </w:rPr>
              <w:t>A</w:t>
            </w:r>
          </w:p>
        </w:tc>
        <w:tc>
          <w:tcPr>
            <w:tcW w:w="1224" w:type="dxa"/>
            <w:shd w:val="clear" w:color="auto" w:fill="EAF2F8"/>
          </w:tcPr>
          <w:p w14:paraId="2A4BF840">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381F836">
            <w:pPr>
              <w:spacing w:after="40" w:line="259" w:lineRule="auto"/>
            </w:pPr>
            <w:r>
              <w:rPr>
                <w:rFonts w:ascii="Times New Roman" w:hAnsi="Times New Roman" w:eastAsia="微软雅黑"/>
                <w:b w:val="0"/>
                <w:color w:val="000000"/>
                <w:sz w:val="19"/>
              </w:rPr>
              <w:t>敌意评论需要先交代其创作与声誉，放在此处在背景上断链。</w:t>
            </w:r>
          </w:p>
        </w:tc>
      </w:tr>
      <w:tr w14:paraId="582DBC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79F0074">
            <w:pPr>
              <w:spacing w:after="40" w:line="259" w:lineRule="auto"/>
            </w:pPr>
            <w:r>
              <w:rPr>
                <w:rFonts w:ascii="Times New Roman" w:hAnsi="Times New Roman" w:eastAsia="微软雅黑"/>
                <w:b w:val="0"/>
                <w:color w:val="000000"/>
                <w:sz w:val="19"/>
              </w:rPr>
              <w:t>C</w:t>
            </w:r>
          </w:p>
        </w:tc>
        <w:tc>
          <w:tcPr>
            <w:tcW w:w="1224" w:type="dxa"/>
          </w:tcPr>
          <w:p w14:paraId="7F1D46F4">
            <w:pPr>
              <w:spacing w:after="40" w:line="259" w:lineRule="auto"/>
            </w:pPr>
            <w:r>
              <w:rPr>
                <w:rFonts w:ascii="Times New Roman" w:hAnsi="Times New Roman" w:eastAsia="微软雅黑"/>
                <w:b w:val="0"/>
                <w:color w:val="000000"/>
                <w:sz w:val="19"/>
              </w:rPr>
              <w:t>不能选</w:t>
            </w:r>
          </w:p>
        </w:tc>
        <w:tc>
          <w:tcPr>
            <w:tcW w:w="7344" w:type="dxa"/>
          </w:tcPr>
          <w:p w14:paraId="3D9335D5">
            <w:pPr>
              <w:spacing w:after="40" w:line="259" w:lineRule="auto"/>
            </w:pPr>
            <w:r>
              <w:rPr>
                <w:rFonts w:ascii="Times New Roman" w:hAnsi="Times New Roman" w:eastAsia="微软雅黑"/>
                <w:b w:val="0"/>
                <w:color w:val="000000"/>
                <w:sz w:val="19"/>
              </w:rPr>
              <w:t>主题分析需要以【F】的作品背景为前提。</w:t>
            </w:r>
          </w:p>
        </w:tc>
      </w:tr>
      <w:tr w14:paraId="3AE35FF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2C6A3E41">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7B6CB718">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8D3D295">
            <w:pPr>
              <w:spacing w:after="40" w:line="259" w:lineRule="auto"/>
            </w:pPr>
            <w:r>
              <w:rPr>
                <w:rFonts w:ascii="Times New Roman" w:hAnsi="Times New Roman" w:eastAsia="微软雅黑"/>
                <w:b w:val="0"/>
                <w:color w:val="000000"/>
                <w:sz w:val="19"/>
              </w:rPr>
              <w:t>“posthumous acclaim”更适合在争议和作品影响之后出现。</w:t>
            </w:r>
          </w:p>
        </w:tc>
      </w:tr>
      <w:tr w14:paraId="388EC48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4E257124">
            <w:pPr>
              <w:spacing w:after="40" w:line="259" w:lineRule="auto"/>
            </w:pPr>
            <w:r>
              <w:rPr>
                <w:rFonts w:ascii="Times New Roman" w:hAnsi="Times New Roman" w:eastAsia="微软雅黑"/>
                <w:b w:val="0"/>
                <w:color w:val="000000"/>
                <w:sz w:val="19"/>
              </w:rPr>
              <w:t>F</w:t>
            </w:r>
          </w:p>
        </w:tc>
        <w:tc>
          <w:tcPr>
            <w:tcW w:w="1224" w:type="dxa"/>
          </w:tcPr>
          <w:p w14:paraId="1876FF1C">
            <w:pPr>
              <w:spacing w:after="40" w:line="259" w:lineRule="auto"/>
            </w:pPr>
            <w:r>
              <w:rPr>
                <w:rFonts w:ascii="Times New Roman" w:hAnsi="Times New Roman" w:eastAsia="微软雅黑"/>
                <w:b w:val="0"/>
                <w:color w:val="000000"/>
                <w:sz w:val="19"/>
              </w:rPr>
              <w:t>不能选</w:t>
            </w:r>
          </w:p>
        </w:tc>
        <w:tc>
          <w:tcPr>
            <w:tcW w:w="7344" w:type="dxa"/>
          </w:tcPr>
          <w:p w14:paraId="4EE396FB">
            <w:pPr>
              <w:spacing w:after="40" w:line="259" w:lineRule="auto"/>
            </w:pPr>
            <w:r>
              <w:rPr>
                <w:rFonts w:ascii="Times New Roman" w:hAnsi="Times New Roman" w:eastAsia="微软雅黑"/>
                <w:b w:val="0"/>
                <w:color w:val="000000"/>
                <w:sz w:val="19"/>
              </w:rPr>
              <w:t>生平背景虽可接在死讯后，但【G】与 B段的“Now”衔接更直接，并点明全文核心文本。</w:t>
            </w:r>
          </w:p>
        </w:tc>
      </w:tr>
    </w:tbl>
    <w:p w14:paraId="36D24E62">
      <w:pPr>
        <w:spacing w:after="160" w:line="276" w:lineRule="auto"/>
      </w:pPr>
    </w:p>
    <w:p w14:paraId="5C68EF0D">
      <w:pPr>
        <w:keepNext/>
        <w:spacing w:before="200" w:after="120"/>
      </w:pPr>
      <w:r>
        <w:rPr>
          <w:rFonts w:ascii="Times New Roman" w:hAnsi="Times New Roman" w:eastAsia="微软雅黑"/>
          <w:b/>
          <w:color w:val="000000"/>
          <w:sz w:val="23"/>
        </w:rPr>
        <w:t>42.【答案】F</w:t>
      </w:r>
    </w:p>
    <w:p w14:paraId="3B2D1343">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空位42；空位43前。</w:t>
      </w:r>
    </w:p>
    <w:p w14:paraId="691D5F53">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【F】介绍 O’Brien 从 County Clare 出走、移居都柏林和英格兰，以及 The Country Girls 使其成名。这一段把 G段中的“作家”扩展为完整的成长与声誉背景，也为后文讨论其女性欲望、社会反叛和评论争议提供基础。</w:t>
      </w:r>
    </w:p>
    <w:p w14:paraId="1E61FC81">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59E2F5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54056D0B">
            <w:pPr>
              <w:spacing w:after="40"/>
            </w:pPr>
            <w:r>
              <w:rPr>
                <w:rFonts w:ascii="Times New Roman" w:hAnsi="Times New Roman" w:eastAsia="微软雅黑"/>
                <w:b/>
                <w:color w:val="FFFFFF"/>
                <w:sz w:val="20"/>
              </w:rPr>
              <w:t>选项</w:t>
            </w:r>
          </w:p>
        </w:tc>
        <w:tc>
          <w:tcPr>
            <w:tcW w:w="1224" w:type="dxa"/>
            <w:shd w:val="clear" w:color="auto" w:fill="1F4E79"/>
          </w:tcPr>
          <w:p w14:paraId="65404B1A">
            <w:pPr>
              <w:spacing w:after="40"/>
            </w:pPr>
            <w:r>
              <w:rPr>
                <w:rFonts w:ascii="Times New Roman" w:hAnsi="Times New Roman" w:eastAsia="微软雅黑"/>
                <w:b/>
                <w:color w:val="FFFFFF"/>
                <w:sz w:val="20"/>
              </w:rPr>
              <w:t>判断</w:t>
            </w:r>
          </w:p>
        </w:tc>
        <w:tc>
          <w:tcPr>
            <w:tcW w:w="7344" w:type="dxa"/>
            <w:shd w:val="clear" w:color="auto" w:fill="1F4E79"/>
          </w:tcPr>
          <w:p w14:paraId="2E7E3EE1">
            <w:pPr>
              <w:spacing w:after="40"/>
            </w:pPr>
            <w:r>
              <w:rPr>
                <w:rFonts w:ascii="Times New Roman" w:hAnsi="Times New Roman" w:eastAsia="微软雅黑"/>
                <w:b/>
                <w:color w:val="FFFFFF"/>
                <w:sz w:val="20"/>
              </w:rPr>
              <w:t>理由</w:t>
            </w:r>
          </w:p>
        </w:tc>
      </w:tr>
      <w:tr w14:paraId="21241A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4806D362">
            <w:pPr>
              <w:spacing w:after="40" w:line="259" w:lineRule="auto"/>
            </w:pPr>
            <w:r>
              <w:rPr>
                <w:rFonts w:ascii="Times New Roman" w:hAnsi="Times New Roman" w:eastAsia="微软雅黑"/>
                <w:b w:val="0"/>
                <w:color w:val="000000"/>
                <w:sz w:val="19"/>
              </w:rPr>
              <w:t>F</w:t>
            </w:r>
          </w:p>
        </w:tc>
        <w:tc>
          <w:tcPr>
            <w:tcW w:w="1224" w:type="dxa"/>
          </w:tcPr>
          <w:p w14:paraId="5D744583">
            <w:pPr>
              <w:spacing w:after="40" w:line="259" w:lineRule="auto"/>
            </w:pPr>
            <w:r>
              <w:rPr>
                <w:rFonts w:ascii="Times New Roman" w:hAnsi="Times New Roman" w:eastAsia="微软雅黑"/>
                <w:b w:val="0"/>
                <w:color w:val="000000"/>
                <w:sz w:val="19"/>
              </w:rPr>
              <w:t>正确</w:t>
            </w:r>
          </w:p>
        </w:tc>
        <w:tc>
          <w:tcPr>
            <w:tcW w:w="7344" w:type="dxa"/>
          </w:tcPr>
          <w:p w14:paraId="68343B2F">
            <w:pPr>
              <w:spacing w:after="40" w:line="259" w:lineRule="auto"/>
            </w:pPr>
            <w:r>
              <w:rPr>
                <w:rFonts w:ascii="Times New Roman" w:hAnsi="Times New Roman" w:eastAsia="微软雅黑"/>
                <w:b w:val="0"/>
                <w:color w:val="000000"/>
                <w:sz w:val="19"/>
              </w:rPr>
              <w:t>补充出身、婚姻、代表作品与公众形象，是背景段。</w:t>
            </w:r>
          </w:p>
        </w:tc>
      </w:tr>
      <w:tr w14:paraId="619688B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308DF9A">
            <w:pPr>
              <w:spacing w:after="40" w:line="259" w:lineRule="auto"/>
            </w:pPr>
            <w:r>
              <w:rPr>
                <w:rFonts w:ascii="Times New Roman" w:hAnsi="Times New Roman" w:eastAsia="微软雅黑"/>
                <w:b w:val="0"/>
                <w:color w:val="000000"/>
                <w:sz w:val="19"/>
              </w:rPr>
              <w:t>A</w:t>
            </w:r>
          </w:p>
        </w:tc>
        <w:tc>
          <w:tcPr>
            <w:tcW w:w="1224" w:type="dxa"/>
            <w:shd w:val="clear" w:color="auto" w:fill="EAF2F8"/>
          </w:tcPr>
          <w:p w14:paraId="4F13097C">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F4C899D">
            <w:pPr>
              <w:spacing w:after="40" w:line="259" w:lineRule="auto"/>
            </w:pPr>
            <w:r>
              <w:rPr>
                <w:rFonts w:ascii="Times New Roman" w:hAnsi="Times New Roman" w:eastAsia="微软雅黑"/>
                <w:b w:val="0"/>
                <w:color w:val="000000"/>
                <w:sz w:val="19"/>
              </w:rPr>
              <w:t>评论争议应出现在其作品形象确立之后。</w:t>
            </w:r>
          </w:p>
        </w:tc>
      </w:tr>
      <w:tr w14:paraId="0F09F5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4EDE13F6">
            <w:pPr>
              <w:spacing w:after="40" w:line="259" w:lineRule="auto"/>
            </w:pPr>
            <w:r>
              <w:rPr>
                <w:rFonts w:ascii="Times New Roman" w:hAnsi="Times New Roman" w:eastAsia="微软雅黑"/>
                <w:b w:val="0"/>
                <w:color w:val="000000"/>
                <w:sz w:val="19"/>
              </w:rPr>
              <w:t>C</w:t>
            </w:r>
          </w:p>
        </w:tc>
        <w:tc>
          <w:tcPr>
            <w:tcW w:w="1224" w:type="dxa"/>
          </w:tcPr>
          <w:p w14:paraId="7A6C6A5E">
            <w:pPr>
              <w:spacing w:after="40" w:line="259" w:lineRule="auto"/>
            </w:pPr>
            <w:r>
              <w:rPr>
                <w:rFonts w:ascii="Times New Roman" w:hAnsi="Times New Roman" w:eastAsia="微软雅黑"/>
                <w:b w:val="0"/>
                <w:color w:val="000000"/>
                <w:sz w:val="19"/>
              </w:rPr>
              <w:t>不能选</w:t>
            </w:r>
          </w:p>
        </w:tc>
        <w:tc>
          <w:tcPr>
            <w:tcW w:w="7344" w:type="dxa"/>
          </w:tcPr>
          <w:p w14:paraId="4FBE584B">
            <w:pPr>
              <w:spacing w:after="40" w:line="259" w:lineRule="auto"/>
            </w:pPr>
            <w:r>
              <w:rPr>
                <w:rFonts w:ascii="Times New Roman" w:hAnsi="Times New Roman" w:eastAsia="微软雅黑"/>
                <w:b w:val="0"/>
                <w:color w:val="000000"/>
                <w:sz w:val="19"/>
              </w:rPr>
              <w:t>“her fiction”需要先由【F】中的创作背景引入。</w:t>
            </w:r>
          </w:p>
        </w:tc>
      </w:tr>
      <w:tr w14:paraId="5E6CDC3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582E4EC4">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1722FD2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6EE8D3E">
            <w:pPr>
              <w:spacing w:after="40" w:line="259" w:lineRule="auto"/>
            </w:pPr>
            <w:r>
              <w:rPr>
                <w:rFonts w:ascii="Times New Roman" w:hAnsi="Times New Roman" w:eastAsia="微软雅黑"/>
                <w:b w:val="0"/>
                <w:color w:val="000000"/>
                <w:sz w:val="19"/>
              </w:rPr>
              <w:t>身后评价属于后段，不应插入早期成名叙述。</w:t>
            </w:r>
          </w:p>
        </w:tc>
      </w:tr>
    </w:tbl>
    <w:p w14:paraId="3C2F273D">
      <w:pPr>
        <w:spacing w:after="160" w:line="276" w:lineRule="auto"/>
      </w:pPr>
    </w:p>
    <w:p w14:paraId="454351B8">
      <w:pPr>
        <w:keepNext/>
        <w:spacing w:before="200" w:after="120"/>
      </w:pPr>
      <w:r>
        <w:rPr>
          <w:rFonts w:ascii="Times New Roman" w:hAnsi="Times New Roman" w:eastAsia="微软雅黑"/>
          <w:b/>
          <w:color w:val="000000"/>
          <w:sz w:val="23"/>
        </w:rPr>
        <w:t>43.【答案】C</w:t>
      </w:r>
    </w:p>
    <w:p w14:paraId="5E62372D">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空位43；空位44前。</w:t>
      </w:r>
    </w:p>
    <w:p w14:paraId="25FD29AF">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【C】集中讨论“female desire and subversion”，并把它与爱尔兰后来在离婚、同性婚姻、堕胎等问题上的变化相对照。它承接【F】的 The Country Girls 和作家形象，继续解释其文学内容与社会意义，也为【A】中“hostile reviews”的争议提供原因。</w:t>
      </w:r>
    </w:p>
    <w:p w14:paraId="07064C9C">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4F62F6C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397DEB68">
            <w:pPr>
              <w:spacing w:after="40"/>
            </w:pPr>
            <w:r>
              <w:rPr>
                <w:rFonts w:ascii="Times New Roman" w:hAnsi="Times New Roman" w:eastAsia="微软雅黑"/>
                <w:b/>
                <w:color w:val="FFFFFF"/>
                <w:sz w:val="20"/>
              </w:rPr>
              <w:t>选项</w:t>
            </w:r>
          </w:p>
        </w:tc>
        <w:tc>
          <w:tcPr>
            <w:tcW w:w="1224" w:type="dxa"/>
            <w:shd w:val="clear" w:color="auto" w:fill="1F4E79"/>
          </w:tcPr>
          <w:p w14:paraId="7B1B6C2D">
            <w:pPr>
              <w:spacing w:after="40"/>
            </w:pPr>
            <w:r>
              <w:rPr>
                <w:rFonts w:ascii="Times New Roman" w:hAnsi="Times New Roman" w:eastAsia="微软雅黑"/>
                <w:b/>
                <w:color w:val="FFFFFF"/>
                <w:sz w:val="20"/>
              </w:rPr>
              <w:t>判断</w:t>
            </w:r>
          </w:p>
        </w:tc>
        <w:tc>
          <w:tcPr>
            <w:tcW w:w="7344" w:type="dxa"/>
            <w:shd w:val="clear" w:color="auto" w:fill="1F4E79"/>
          </w:tcPr>
          <w:p w14:paraId="0CD83D57">
            <w:pPr>
              <w:spacing w:after="40"/>
            </w:pPr>
            <w:r>
              <w:rPr>
                <w:rFonts w:ascii="Times New Roman" w:hAnsi="Times New Roman" w:eastAsia="微软雅黑"/>
                <w:b/>
                <w:color w:val="FFFFFF"/>
                <w:sz w:val="20"/>
              </w:rPr>
              <w:t>理由</w:t>
            </w:r>
          </w:p>
        </w:tc>
      </w:tr>
      <w:tr w14:paraId="33C8DE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4AE49F6D">
            <w:pPr>
              <w:spacing w:after="40" w:line="259" w:lineRule="auto"/>
            </w:pPr>
            <w:r>
              <w:rPr>
                <w:rFonts w:ascii="Times New Roman" w:hAnsi="Times New Roman" w:eastAsia="微软雅黑"/>
                <w:b w:val="0"/>
                <w:color w:val="000000"/>
                <w:sz w:val="19"/>
              </w:rPr>
              <w:t>C</w:t>
            </w:r>
          </w:p>
        </w:tc>
        <w:tc>
          <w:tcPr>
            <w:tcW w:w="1224" w:type="dxa"/>
          </w:tcPr>
          <w:p w14:paraId="51D29C45">
            <w:pPr>
              <w:spacing w:after="40" w:line="259" w:lineRule="auto"/>
            </w:pPr>
            <w:r>
              <w:rPr>
                <w:rFonts w:ascii="Times New Roman" w:hAnsi="Times New Roman" w:eastAsia="微软雅黑"/>
                <w:b w:val="0"/>
                <w:color w:val="000000"/>
                <w:sz w:val="19"/>
              </w:rPr>
              <w:t>正确</w:t>
            </w:r>
          </w:p>
        </w:tc>
        <w:tc>
          <w:tcPr>
            <w:tcW w:w="7344" w:type="dxa"/>
          </w:tcPr>
          <w:p w14:paraId="4FD408B1">
            <w:pPr>
              <w:spacing w:after="40" w:line="259" w:lineRule="auto"/>
            </w:pPr>
            <w:r>
              <w:rPr>
                <w:rFonts w:ascii="Times New Roman" w:hAnsi="Times New Roman" w:eastAsia="微软雅黑"/>
                <w:b w:val="0"/>
                <w:color w:val="000000"/>
                <w:sz w:val="19"/>
              </w:rPr>
              <w:t>从作品背景进入女性欲望、反叛与社会进步的主题。</w:t>
            </w:r>
          </w:p>
        </w:tc>
      </w:tr>
      <w:tr w14:paraId="5B128E2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C510478">
            <w:pPr>
              <w:spacing w:after="40" w:line="259" w:lineRule="auto"/>
            </w:pPr>
            <w:r>
              <w:rPr>
                <w:rFonts w:ascii="Times New Roman" w:hAnsi="Times New Roman" w:eastAsia="微软雅黑"/>
                <w:b w:val="0"/>
                <w:color w:val="000000"/>
                <w:sz w:val="19"/>
              </w:rPr>
              <w:t>A</w:t>
            </w:r>
          </w:p>
        </w:tc>
        <w:tc>
          <w:tcPr>
            <w:tcW w:w="1224" w:type="dxa"/>
            <w:shd w:val="clear" w:color="auto" w:fill="EAF2F8"/>
          </w:tcPr>
          <w:p w14:paraId="2ED01A0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D0671F9">
            <w:pPr>
              <w:spacing w:after="40" w:line="259" w:lineRule="auto"/>
            </w:pPr>
            <w:r>
              <w:rPr>
                <w:rFonts w:ascii="Times New Roman" w:hAnsi="Times New Roman" w:eastAsia="微软雅黑"/>
                <w:b w:val="0"/>
                <w:color w:val="000000"/>
                <w:sz w:val="19"/>
              </w:rPr>
              <w:t>【A】写具体评论反应，应放在主题分析后。</w:t>
            </w:r>
          </w:p>
        </w:tc>
      </w:tr>
      <w:tr w14:paraId="367AA9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76B8510">
            <w:pPr>
              <w:spacing w:after="40" w:line="259" w:lineRule="auto"/>
            </w:pPr>
            <w:r>
              <w:rPr>
                <w:rFonts w:ascii="Times New Roman" w:hAnsi="Times New Roman" w:eastAsia="微软雅黑"/>
                <w:b w:val="0"/>
                <w:color w:val="000000"/>
                <w:sz w:val="19"/>
              </w:rPr>
              <w:t>E</w:t>
            </w:r>
          </w:p>
        </w:tc>
        <w:tc>
          <w:tcPr>
            <w:tcW w:w="1224" w:type="dxa"/>
          </w:tcPr>
          <w:p w14:paraId="6EE58B1D">
            <w:pPr>
              <w:spacing w:after="40" w:line="259" w:lineRule="auto"/>
            </w:pPr>
            <w:r>
              <w:rPr>
                <w:rFonts w:ascii="Times New Roman" w:hAnsi="Times New Roman" w:eastAsia="微软雅黑"/>
                <w:b w:val="0"/>
                <w:color w:val="000000"/>
                <w:sz w:val="19"/>
              </w:rPr>
              <w:t>不能选</w:t>
            </w:r>
          </w:p>
        </w:tc>
        <w:tc>
          <w:tcPr>
            <w:tcW w:w="7344" w:type="dxa"/>
          </w:tcPr>
          <w:p w14:paraId="332FDBAC">
            <w:pPr>
              <w:spacing w:after="40" w:line="259" w:lineRule="auto"/>
            </w:pPr>
            <w:r>
              <w:rPr>
                <w:rFonts w:ascii="Times New Roman" w:hAnsi="Times New Roman" w:eastAsia="微软雅黑"/>
                <w:b w:val="0"/>
                <w:color w:val="000000"/>
                <w:sz w:val="19"/>
              </w:rPr>
              <w:t>“posthumous acclaim”需要先有争议脉络形成反差。</w:t>
            </w:r>
          </w:p>
        </w:tc>
      </w:tr>
    </w:tbl>
    <w:p w14:paraId="2E4B53C1">
      <w:pPr>
        <w:spacing w:after="160" w:line="276" w:lineRule="auto"/>
      </w:pPr>
    </w:p>
    <w:p w14:paraId="61F294B8">
      <w:pPr>
        <w:keepNext/>
        <w:spacing w:before="200" w:after="120"/>
      </w:pPr>
      <w:r>
        <w:rPr>
          <w:rFonts w:ascii="Times New Roman" w:hAnsi="Times New Roman" w:eastAsia="微软雅黑"/>
          <w:b/>
          <w:color w:val="000000"/>
          <w:sz w:val="23"/>
        </w:rPr>
        <w:t>44.【答案】A</w:t>
      </w:r>
    </w:p>
    <w:p w14:paraId="4AFE6134">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空位44；空位45前。</w:t>
      </w:r>
    </w:p>
    <w:p w14:paraId="04D02CCC">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【A】用“initially”和“later”梳理母亲遭受敌意评论的两个阶段，直接承接【C】中大胆、越界的创作主题。【A】末尾“It’s not your gig, madam”也强化了外界对她进入不同题材的不满，为【E】中去世后的赞誉制造转折。</w:t>
      </w:r>
    </w:p>
    <w:p w14:paraId="2D9D0A9D">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0AE5B1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3065D28E">
            <w:pPr>
              <w:spacing w:after="40"/>
            </w:pPr>
            <w:r>
              <w:rPr>
                <w:rFonts w:ascii="Times New Roman" w:hAnsi="Times New Roman" w:eastAsia="微软雅黑"/>
                <w:b/>
                <w:color w:val="FFFFFF"/>
                <w:sz w:val="20"/>
              </w:rPr>
              <w:t>选项</w:t>
            </w:r>
          </w:p>
        </w:tc>
        <w:tc>
          <w:tcPr>
            <w:tcW w:w="1224" w:type="dxa"/>
            <w:shd w:val="clear" w:color="auto" w:fill="1F4E79"/>
          </w:tcPr>
          <w:p w14:paraId="26008621">
            <w:pPr>
              <w:spacing w:after="40"/>
            </w:pPr>
            <w:r>
              <w:rPr>
                <w:rFonts w:ascii="Times New Roman" w:hAnsi="Times New Roman" w:eastAsia="微软雅黑"/>
                <w:b/>
                <w:color w:val="FFFFFF"/>
                <w:sz w:val="20"/>
              </w:rPr>
              <w:t>判断</w:t>
            </w:r>
          </w:p>
        </w:tc>
        <w:tc>
          <w:tcPr>
            <w:tcW w:w="7344" w:type="dxa"/>
            <w:shd w:val="clear" w:color="auto" w:fill="1F4E79"/>
          </w:tcPr>
          <w:p w14:paraId="4EB0DABD">
            <w:pPr>
              <w:spacing w:after="40"/>
            </w:pPr>
            <w:r>
              <w:rPr>
                <w:rFonts w:ascii="Times New Roman" w:hAnsi="Times New Roman" w:eastAsia="微软雅黑"/>
                <w:b/>
                <w:color w:val="FFFFFF"/>
                <w:sz w:val="20"/>
              </w:rPr>
              <w:t>理由</w:t>
            </w:r>
          </w:p>
        </w:tc>
      </w:tr>
      <w:tr w14:paraId="29A9007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7678787">
            <w:pPr>
              <w:spacing w:after="40" w:line="259" w:lineRule="auto"/>
            </w:pPr>
            <w:r>
              <w:rPr>
                <w:rFonts w:ascii="Times New Roman" w:hAnsi="Times New Roman" w:eastAsia="微软雅黑"/>
                <w:b w:val="0"/>
                <w:color w:val="000000"/>
                <w:sz w:val="19"/>
              </w:rPr>
              <w:t>A</w:t>
            </w:r>
          </w:p>
        </w:tc>
        <w:tc>
          <w:tcPr>
            <w:tcW w:w="1224" w:type="dxa"/>
          </w:tcPr>
          <w:p w14:paraId="763ECEC0">
            <w:pPr>
              <w:spacing w:after="40" w:line="259" w:lineRule="auto"/>
            </w:pPr>
            <w:r>
              <w:rPr>
                <w:rFonts w:ascii="Times New Roman" w:hAnsi="Times New Roman" w:eastAsia="微软雅黑"/>
                <w:b w:val="0"/>
                <w:color w:val="000000"/>
                <w:sz w:val="19"/>
              </w:rPr>
              <w:t>正确</w:t>
            </w:r>
          </w:p>
        </w:tc>
        <w:tc>
          <w:tcPr>
            <w:tcW w:w="7344" w:type="dxa"/>
          </w:tcPr>
          <w:p w14:paraId="1BF869A6">
            <w:pPr>
              <w:spacing w:after="40" w:line="259" w:lineRule="auto"/>
            </w:pPr>
            <w:r>
              <w:rPr>
                <w:rFonts w:ascii="Times New Roman" w:hAnsi="Times New Roman" w:eastAsia="微软雅黑"/>
                <w:b w:val="0"/>
                <w:color w:val="000000"/>
                <w:sz w:val="19"/>
              </w:rPr>
              <w:t>承接创作主题，展开评论界的敌意。</w:t>
            </w:r>
          </w:p>
        </w:tc>
      </w:tr>
      <w:tr w14:paraId="7F42A9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69862DBA">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1C71F456">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6D6D305">
            <w:pPr>
              <w:spacing w:after="40" w:line="259" w:lineRule="auto"/>
            </w:pPr>
            <w:r>
              <w:rPr>
                <w:rFonts w:ascii="Times New Roman" w:hAnsi="Times New Roman" w:eastAsia="微软雅黑"/>
                <w:b w:val="0"/>
                <w:color w:val="000000"/>
                <w:sz w:val="19"/>
              </w:rPr>
              <w:t>【E】正好利用“death”与身后声望回应【A】的负面评价，应在其后。</w:t>
            </w:r>
          </w:p>
        </w:tc>
      </w:tr>
    </w:tbl>
    <w:p w14:paraId="15479E29">
      <w:pPr>
        <w:spacing w:after="160" w:line="276" w:lineRule="auto"/>
      </w:pPr>
    </w:p>
    <w:p w14:paraId="606FE419">
      <w:pPr>
        <w:keepNext/>
        <w:spacing w:before="200" w:after="120"/>
      </w:pPr>
      <w:r>
        <w:rPr>
          <w:rFonts w:ascii="Times New Roman" w:hAnsi="Times New Roman" w:eastAsia="微软雅黑"/>
          <w:b/>
          <w:color w:val="000000"/>
          <w:sz w:val="23"/>
        </w:rPr>
        <w:t>45.【答案】E</w:t>
      </w:r>
    </w:p>
    <w:p w14:paraId="643DD106">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空位45；固定段D之前。</w:t>
      </w:r>
    </w:p>
    <w:p w14:paraId="443C21A5">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【E】中的“The posthumous acclaim”与【A】的“hostile reviews”形成对照：生前遭遇批评，去世后却获得更高关注。段中“death is an even bigger noise”既承接 O’Brien 的死亡，也自然过渡到【D】“For Gébler, however, her passing brought loss…”。</w:t>
      </w:r>
    </w:p>
    <w:p w14:paraId="0D84F053">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234172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76616B69">
            <w:pPr>
              <w:spacing w:after="40"/>
            </w:pPr>
            <w:r>
              <w:rPr>
                <w:rFonts w:ascii="Times New Roman" w:hAnsi="Times New Roman" w:eastAsia="微软雅黑"/>
                <w:b/>
                <w:color w:val="FFFFFF"/>
                <w:sz w:val="20"/>
              </w:rPr>
              <w:t>选项</w:t>
            </w:r>
          </w:p>
        </w:tc>
        <w:tc>
          <w:tcPr>
            <w:tcW w:w="1224" w:type="dxa"/>
            <w:shd w:val="clear" w:color="auto" w:fill="1F4E79"/>
          </w:tcPr>
          <w:p w14:paraId="3F1CAEA6">
            <w:pPr>
              <w:spacing w:after="40"/>
            </w:pPr>
            <w:r>
              <w:rPr>
                <w:rFonts w:ascii="Times New Roman" w:hAnsi="Times New Roman" w:eastAsia="微软雅黑"/>
                <w:b/>
                <w:color w:val="FFFFFF"/>
                <w:sz w:val="20"/>
              </w:rPr>
              <w:t>判断</w:t>
            </w:r>
          </w:p>
        </w:tc>
        <w:tc>
          <w:tcPr>
            <w:tcW w:w="7344" w:type="dxa"/>
            <w:shd w:val="clear" w:color="auto" w:fill="1F4E79"/>
          </w:tcPr>
          <w:p w14:paraId="1126E618">
            <w:pPr>
              <w:spacing w:after="40"/>
            </w:pPr>
            <w:r>
              <w:rPr>
                <w:rFonts w:ascii="Times New Roman" w:hAnsi="Times New Roman" w:eastAsia="微软雅黑"/>
                <w:b/>
                <w:color w:val="FFFFFF"/>
                <w:sz w:val="20"/>
              </w:rPr>
              <w:t>理由</w:t>
            </w:r>
          </w:p>
        </w:tc>
      </w:tr>
      <w:tr w14:paraId="3B2FD30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5C0E9F8">
            <w:pPr>
              <w:spacing w:after="40" w:line="259" w:lineRule="auto"/>
            </w:pPr>
            <w:r>
              <w:rPr>
                <w:rFonts w:ascii="Times New Roman" w:hAnsi="Times New Roman" w:eastAsia="微软雅黑"/>
                <w:b w:val="0"/>
                <w:color w:val="000000"/>
                <w:sz w:val="19"/>
              </w:rPr>
              <w:t>E</w:t>
            </w:r>
          </w:p>
        </w:tc>
        <w:tc>
          <w:tcPr>
            <w:tcW w:w="1224" w:type="dxa"/>
          </w:tcPr>
          <w:p w14:paraId="0D3984A4">
            <w:pPr>
              <w:spacing w:after="40" w:line="259" w:lineRule="auto"/>
            </w:pPr>
            <w:r>
              <w:rPr>
                <w:rFonts w:ascii="Times New Roman" w:hAnsi="Times New Roman" w:eastAsia="微软雅黑"/>
                <w:b w:val="0"/>
                <w:color w:val="000000"/>
                <w:sz w:val="19"/>
              </w:rPr>
              <w:t>正确</w:t>
            </w:r>
          </w:p>
        </w:tc>
        <w:tc>
          <w:tcPr>
            <w:tcW w:w="7344" w:type="dxa"/>
          </w:tcPr>
          <w:p w14:paraId="6F3FCD87">
            <w:pPr>
              <w:spacing w:after="40" w:line="259" w:lineRule="auto"/>
            </w:pPr>
            <w:r>
              <w:rPr>
                <w:rFonts w:ascii="Times New Roman" w:hAnsi="Times New Roman" w:eastAsia="微软雅黑"/>
                <w:b w:val="0"/>
                <w:color w:val="000000"/>
                <w:sz w:val="19"/>
              </w:rPr>
              <w:t>由评论争议转入去世后的声望，并衔接固定段D。</w:t>
            </w:r>
          </w:p>
        </w:tc>
      </w:tr>
      <w:tr w14:paraId="331C1D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8D1F57C">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35D75BC0">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630F295">
            <w:pPr>
              <w:spacing w:after="40" w:line="259" w:lineRule="auto"/>
            </w:pPr>
            <w:r>
              <w:rPr>
                <w:rFonts w:ascii="Times New Roman" w:hAnsi="Times New Roman" w:eastAsia="微软雅黑"/>
                <w:b w:val="0"/>
                <w:color w:val="000000"/>
                <w:sz w:val="19"/>
              </w:rPr>
              <w:t>【C】的主题分析已经完成，不能打断“争议—身后声誉”的对照。</w:t>
            </w:r>
          </w:p>
        </w:tc>
      </w:tr>
    </w:tbl>
    <w:p w14:paraId="32A1A338">
      <w:pPr>
        <w:spacing w:after="160" w:line="276" w:lineRule="auto"/>
      </w:pPr>
    </w:p>
    <w:p w14:paraId="30A62B9D">
      <w:pPr>
        <w:keepNext/>
        <w:spacing w:before="200" w:after="120"/>
      </w:pPr>
      <w:r>
        <w:rPr>
          <w:rFonts w:ascii="Times New Roman" w:hAnsi="Times New Roman" w:eastAsia="微软雅黑"/>
          <w:b/>
          <w:color w:val="000000"/>
          <w:sz w:val="24"/>
        </w:rPr>
        <w:t>干扰项设置</w:t>
      </w:r>
    </w:p>
    <w:p w14:paraId="37B1C7CE">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本题主要使用时间错位、评价方向干扰和回指错位。【A】【C】【E】都涉及 O’Brien 的文学意义与社会接受，但侧重点不同；【F】与【G】都可用作背景信息，需要通过“Now her son…”这一强衔接词判断全文由死讯进入新作。</w:t>
      </w:r>
    </w:p>
    <w:p w14:paraId="7940DB0F">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bookmarkStart w:id="0" w:name="_GoBack"/>
      <w:bookmarkEnd w:id="0"/>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4BDDD27F">
      <w:pPr>
        <w:spacing w:after="160" w:line="276" w:lineRule="auto"/>
        <w:rPr>
          <w:rFonts w:ascii="Times New Roman" w:hAnsi="Times New Roman" w:eastAsia="微软雅黑"/>
          <w:b w:val="0"/>
          <w:color w:val="000000"/>
          <w:sz w:val="21"/>
        </w:rPr>
      </w:pP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仓耳玄三M W05">
    <w:panose1 w:val="02020400000000000000"/>
    <w:charset w:val="80"/>
    <w:family w:val="auto"/>
    <w:pitch w:val="default"/>
    <w:sig w:usb0="800002BF" w:usb1="184D64F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02473A"/>
    <w:rsid w:val="289E3886"/>
    <w:rsid w:val="2D450775"/>
    <w:rsid w:val="3CBA783B"/>
    <w:rsid w:val="445F7F16"/>
    <w:rsid w:val="45D16BF2"/>
    <w:rsid w:val="520420FD"/>
    <w:rsid w:val="53645506"/>
    <w:rsid w:val="53760DD8"/>
    <w:rsid w:val="72B868C0"/>
    <w:rsid w:val="76E934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2113</Words>
  <Characters>4547</Characters>
  <Lines>0</Lines>
  <Paragraphs>0</Paragraphs>
  <TotalTime>0</TotalTime>
  <ScaleCrop>false</ScaleCrop>
  <LinksUpToDate>false</LinksUpToDate>
  <CharactersWithSpaces>5207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2026-09-12T11:05:33Z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885BF65BF5854F568A13CFA6359B9F8B_12</vt:lpwstr>
  </property>
</Properties>
</file>