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5B5C2">
      <w:pPr>
        <w:keepNext/>
        <w:spacing w:before="200" w:after="120"/>
      </w:pPr>
      <w:r>
        <w:rPr>
          <w:rFonts w:ascii="Times New Roman" w:hAnsi="Times New Roman" w:eastAsia="微软雅黑"/>
          <w:b/>
          <w:color w:val="000000"/>
          <w:sz w:val="26"/>
        </w:rPr>
        <w:t>Part B</w:t>
      </w:r>
    </w:p>
    <w:p w14:paraId="2FE39D5F">
      <w:pPr>
        <w:spacing w:after="60" w:line="276" w:lineRule="auto"/>
      </w:pPr>
      <w:r>
        <w:rPr>
          <w:rFonts w:ascii="Times New Roman" w:hAnsi="Times New Roman" w:eastAsia="微软雅黑"/>
          <w:b/>
          <w:color w:val="000000"/>
          <w:sz w:val="21"/>
        </w:rPr>
        <w:t>Directions:</w:t>
      </w:r>
    </w:p>
    <w:p w14:paraId="732AF911">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2AECECF0">
      <w:pPr>
        <w:spacing w:after="200" w:line="283" w:lineRule="auto"/>
      </w:pPr>
      <w:r>
        <w:rPr>
          <w:rFonts w:ascii="Times New Roman" w:hAnsi="Times New Roman" w:eastAsia="微软雅黑"/>
          <w:b w:val="0"/>
          <w:color w:val="000000"/>
          <w:sz w:val="21"/>
        </w:rPr>
        <w:t>It is just past noon on a midweek day, and already every table at Au Bon Accueil cafe-bistro in the northern Burgundy village of Saint-Martin-sur-Ouanne is taken.</w:t>
      </w:r>
    </w:p>
    <w:p w14:paraId="09850EAE">
      <w:pPr>
        <w:spacing w:after="200" w:line="283" w:lineRule="auto"/>
      </w:pPr>
      <w:r>
        <w:rPr>
          <w:rFonts w:ascii="Times New Roman" w:hAnsi="Times New Roman" w:eastAsia="微软雅黑"/>
          <w:b w:val="0"/>
          <w:color w:val="000000"/>
          <w:sz w:val="21"/>
        </w:rPr>
        <w:t xml:space="preserve">The three-course lunch menu – including a choice of a hefty chunk of steak with chips or a meaty lasagne – is just €18 (£15.50), but villagers are not only here for the food. After an eight-month closure, the bistro, previously called Café de la Gare, has recently reopened – and locals want it to stay that way. </w:t>
      </w:r>
      <w:r>
        <w:rPr>
          <w:rFonts w:ascii="Times New Roman" w:hAnsi="Times New Roman" w:eastAsia="微软雅黑"/>
          <w:b/>
          <w:color w:val="000000"/>
          <w:sz w:val="21"/>
        </w:rPr>
        <w:t>(41)</w:t>
      </w:r>
    </w:p>
    <w:p w14:paraId="6158587A">
      <w:pPr>
        <w:spacing w:after="200" w:line="283" w:lineRule="auto"/>
      </w:pPr>
      <w:r>
        <w:rPr>
          <w:rFonts w:ascii="Times New Roman" w:hAnsi="Times New Roman" w:eastAsia="微软雅黑"/>
          <w:b w:val="0"/>
          <w:color w:val="000000"/>
          <w:sz w:val="21"/>
        </w:rPr>
        <w:t xml:space="preserve">Hervé Chapuis, a farmer and the village mayor, is part of the local council team that saved Saint-Martin’s last public-facing business since the boulangerie across the road closed eight years ago. </w:t>
      </w:r>
      <w:r>
        <w:rPr>
          <w:rFonts w:ascii="Times New Roman" w:hAnsi="Times New Roman" w:eastAsia="微软雅黑"/>
          <w:b/>
          <w:color w:val="000000"/>
          <w:sz w:val="21"/>
        </w:rPr>
        <w:t>(42)</w:t>
      </w:r>
    </w:p>
    <w:p w14:paraId="160248A7">
      <w:pPr>
        <w:spacing w:after="200" w:line="283" w:lineRule="auto"/>
      </w:pPr>
      <w:r>
        <w:rPr>
          <w:rFonts w:ascii="Times New Roman" w:hAnsi="Times New Roman" w:eastAsia="微软雅黑"/>
          <w:b w:val="0"/>
          <w:color w:val="000000"/>
          <w:sz w:val="21"/>
        </w:rPr>
        <w:t xml:space="preserve">France’s celebrated cafe-bistros are in trouble. In 1900, there were an estimated 500,000; by the 1960s more than half had closed. Today, only about 30,000-40,000 remain and even they are reportedly shutting at a rate of two a day. </w:t>
      </w:r>
      <w:r>
        <w:rPr>
          <w:rFonts w:ascii="Times New Roman" w:hAnsi="Times New Roman" w:eastAsia="微软雅黑"/>
          <w:b/>
          <w:color w:val="000000"/>
          <w:sz w:val="21"/>
        </w:rPr>
        <w:t>(43)</w:t>
      </w:r>
    </w:p>
    <w:p w14:paraId="3B75EF5A">
      <w:pPr>
        <w:spacing w:after="200" w:line="283" w:lineRule="auto"/>
      </w:pPr>
      <w:r>
        <w:rPr>
          <w:rFonts w:ascii="Times New Roman" w:hAnsi="Times New Roman" w:eastAsia="微软雅黑"/>
          <w:b w:val="0"/>
          <w:color w:val="000000"/>
          <w:sz w:val="21"/>
        </w:rPr>
        <w:t xml:space="preserve">The reasons for the closures of what the 19th-century writer and statesman Léon Gambetta called “salons de la démocratie” (people’s parliaments) are economic and sociological. </w:t>
      </w:r>
      <w:r>
        <w:rPr>
          <w:rFonts w:ascii="Times New Roman" w:hAnsi="Times New Roman" w:eastAsia="微软雅黑"/>
          <w:b/>
          <w:color w:val="000000"/>
          <w:sz w:val="21"/>
        </w:rPr>
        <w:t>(44)</w:t>
      </w:r>
    </w:p>
    <w:p w14:paraId="71406287">
      <w:pPr>
        <w:spacing w:after="200" w:line="283" w:lineRule="auto"/>
      </w:pPr>
      <w:r>
        <w:rPr>
          <w:rFonts w:ascii="Times New Roman" w:hAnsi="Times New Roman" w:eastAsia="微软雅黑"/>
          <w:b w:val="0"/>
          <w:color w:val="000000"/>
          <w:sz w:val="21"/>
        </w:rPr>
        <w:t xml:space="preserve">Finding people who are willing to run bars, cafes or bistros is also a problem, according to Fontaine, who is campaigning for the government to submit the establishments to Unesco for intangible cultural heritage listing, arguing this recognition would encourage more people to consider taking them on. </w:t>
      </w:r>
      <w:r>
        <w:rPr>
          <w:rFonts w:ascii="Times New Roman" w:hAnsi="Times New Roman" w:eastAsia="微软雅黑"/>
          <w:b/>
          <w:color w:val="000000"/>
          <w:sz w:val="21"/>
        </w:rPr>
        <w:t>(45)</w:t>
      </w:r>
    </w:p>
    <w:p w14:paraId="74D2374C">
      <w:pPr>
        <w:spacing w:after="200" w:line="283" w:lineRule="auto"/>
      </w:pPr>
      <w:r>
        <w:rPr>
          <w:rFonts w:ascii="Times New Roman" w:hAnsi="Times New Roman" w:eastAsia="微软雅黑"/>
          <w:b w:val="0"/>
          <w:color w:val="000000"/>
          <w:sz w:val="21"/>
        </w:rPr>
        <w:t>Solène Joucla, whose family have run the historic Le Grand Café at Camplong, near Montpellier, since 1898, faced a choice between having to let it close or giving up her job as an English teacher when her father, Pierre, retired. Instead, she and her sister, Katell, set up an association to run it. “Our aim is to encourage people to go out so they are not isolated, and so we know how they are. People come here for a chat, to have a laugh, listen to music … we are the cultural centre of the village.</w:t>
      </w:r>
    </w:p>
    <w:p w14:paraId="237199FF">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Alain Fontaine, president of the Bistros and Cafes of France association, said the closures have left rural communities deserted and villagers, especially elderly people, isolated.</w:t>
      </w:r>
    </w:p>
    <w:p w14:paraId="2213783B">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“Without a cafe or bistro, communities are in effect deprived of any social life. We cannot resign ourselves to this trend. In bistros and cafes, people don’t just eat and drink, they catch up with each other, meet new people, debate, laugh, read, write and sometimes fall in love.”</w:t>
      </w:r>
    </w:p>
    <w:p w14:paraId="3D21ABD4">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“It’s so important to have a cafe-bistro in a village like this. We couldn’t let it stay closed. And we’re doing well, as you can see. People seem really happy it’s open again.”</w:t>
      </w:r>
    </w:p>
    <w:p w14:paraId="0FD7DF8F">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The number of people living in rural areas has declined over the past half a century, while televisions and other devices have encouraged more people to spend their evenings at home, and the average French person drinks about 80 litres of alcohol a year compared with 200 litres in the 1960s.</w:t>
      </w:r>
    </w:p>
    <w:p w14:paraId="494A4B12">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A report submitted to the French senate suggested the government should ease regulations on small rural cafe-bistros, hotels and restaurants.</w:t>
      </w:r>
    </w:p>
    <w:p w14:paraId="11DC381F">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“People come here every morning to have a coffee and a chat. Our aim is to keep this kind of business open to support the social fabric. It’s part of village life and people missed it. Now, village life has returned to its proper rhythm.”</w:t>
      </w:r>
    </w:p>
    <w:p w14:paraId="46F92DE0">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Supporting the village bistro means helping to keep it alive, so the heart of our countryside continues to beat.</w:t>
      </w:r>
    </w:p>
    <w:p w14:paraId="5D40652F"/>
    <w:p w14:paraId="09ABBD42">
      <w:pPr>
        <w:keepNext/>
        <w:spacing w:before="280" w:after="120"/>
      </w:pPr>
      <w:r>
        <w:rPr>
          <w:rFonts w:ascii="Times New Roman" w:hAnsi="Times New Roman" w:eastAsia="微软雅黑"/>
          <w:b/>
          <w:color w:val="000000"/>
          <w:sz w:val="28"/>
        </w:rPr>
        <w:t>答案与解析</w:t>
      </w:r>
    </w:p>
    <w:p w14:paraId="49858A1D">
      <w:pPr>
        <w:keepNext/>
        <w:spacing w:before="200" w:after="120"/>
      </w:pPr>
      <w:r>
        <w:rPr>
          <w:rFonts w:ascii="Times New Roman" w:hAnsi="Times New Roman" w:eastAsia="微软雅黑"/>
          <w:b/>
          <w:color w:val="000000"/>
          <w:sz w:val="24"/>
        </w:rPr>
        <w:t>答案速查</w:t>
      </w:r>
    </w:p>
    <w:p w14:paraId="2A030B4C">
      <w:pPr>
        <w:spacing w:after="200" w:line="276" w:lineRule="auto"/>
      </w:pPr>
      <w:r>
        <w:rPr>
          <w:rFonts w:ascii="Times New Roman" w:hAnsi="Times New Roman" w:eastAsia="微软雅黑"/>
          <w:b/>
          <w:color w:val="000000"/>
          <w:sz w:val="21"/>
        </w:rPr>
        <w:t>41. C    42. F    43. A    44. D    45. B</w:t>
      </w:r>
    </w:p>
    <w:p w14:paraId="36466180">
      <w:pPr>
        <w:keepNext/>
        <w:spacing w:before="200" w:after="120"/>
      </w:pPr>
      <w:r>
        <w:rPr>
          <w:rFonts w:ascii="Times New Roman" w:hAnsi="Times New Roman" w:eastAsia="微软雅黑"/>
          <w:b/>
          <w:color w:val="000000"/>
          <w:sz w:val="24"/>
        </w:rPr>
        <w:t>文章与命题分析</w:t>
      </w:r>
    </w:p>
    <w:p w14:paraId="4FEC73B7">
      <w:pPr>
        <w:spacing w:after="80" w:line="276" w:lineRule="auto"/>
      </w:pPr>
      <w:r>
        <w:rPr>
          <w:rFonts w:ascii="Times New Roman" w:hAnsi="Times New Roman" w:eastAsia="微软雅黑"/>
          <w:b w:val="0"/>
          <w:color w:val="000000"/>
          <w:sz w:val="21"/>
        </w:rPr>
        <w:t>文章主旨：法国乡村 cafe-bistro 数量持续减少，但它们承担着社交、公共服务和文化凝聚功能，因此地方社会正在尝试把小酒馆救回来。</w:t>
      </w:r>
    </w:p>
    <w:p w14:paraId="4CCF0A78">
      <w:pPr>
        <w:spacing w:after="80" w:line="276" w:lineRule="auto"/>
      </w:pPr>
      <w:r>
        <w:rPr>
          <w:rFonts w:ascii="Times New Roman" w:hAnsi="Times New Roman" w:eastAsia="微软雅黑"/>
          <w:b w:val="0"/>
          <w:color w:val="000000"/>
          <w:sz w:val="21"/>
        </w:rPr>
        <w:t>结构脉络：乡村酒馆重开 → 村民与镇长说明其社会价值 → 全国性衰落的规模与后果 → 经济和社会原因 → 经营者短缺与身份认同 → 协会自救案例。</w:t>
      </w:r>
    </w:p>
    <w:p w14:paraId="32CB1259">
      <w:pPr>
        <w:spacing w:after="80" w:line="276" w:lineRule="auto"/>
      </w:pPr>
      <w:r>
        <w:rPr>
          <w:rFonts w:ascii="Times New Roman" w:hAnsi="Times New Roman" w:eastAsia="微软雅黑"/>
          <w:b w:val="0"/>
          <w:color w:val="000000"/>
          <w:sz w:val="21"/>
        </w:rPr>
        <w:t>题型适配：文段围绕同一现象不断推进，空格前后存在“个体案例—社会功能—全国数据—原因分析”的衔接链，适合7选5。</w:t>
      </w:r>
    </w:p>
    <w:p w14:paraId="02EA27E5">
      <w:pPr>
        <w:spacing w:after="200" w:line="276" w:lineRule="auto"/>
      </w:pPr>
      <w:r>
        <w:rPr>
          <w:rFonts w:ascii="Times New Roman" w:hAnsi="Times New Roman" w:eastAsia="微软雅黑"/>
          <w:b w:val="0"/>
          <w:color w:val="000000"/>
          <w:sz w:val="21"/>
        </w:rPr>
        <w:t>解题入口：先抓住 41 空前“not only here for the food”、42 空后“France’s…are in trouble”、43 空后“The reasons”、44 空后“also a problem”和45空前“Unesco…recognition”。</w:t>
      </w:r>
    </w:p>
    <w:p w14:paraId="5F9A9832">
      <w:pPr>
        <w:keepNext/>
        <w:spacing w:before="200" w:after="120"/>
      </w:pPr>
      <w:r>
        <w:rPr>
          <w:rFonts w:ascii="Times New Roman" w:hAnsi="Times New Roman" w:eastAsia="微软雅黑"/>
          <w:b/>
          <w:color w:val="000000"/>
          <w:sz w:val="24"/>
        </w:rPr>
        <w:t>选项总览</w:t>
      </w:r>
    </w:p>
    <w:p w14:paraId="727573AD">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把酒馆减少落到乡村空虚和老人孤立，指向后果。</w:t>
      </w:r>
    </w:p>
    <w:p w14:paraId="3089CB7E">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强调酒馆承载的社会生活和文化交往，回应经营者短缺问题。</w:t>
      </w:r>
    </w:p>
    <w:p w14:paraId="76201AEA">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写乡村酒馆重开后的受欢迎程度，承接个体案例。</w:t>
      </w:r>
    </w:p>
    <w:p w14:paraId="0A3993F3">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列出人口减少、居家娱乐和饮酒量变化，补充关闭原因。</w:t>
      </w:r>
    </w:p>
    <w:p w14:paraId="0EE669E2">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写参议院报告建议放松监管，偏政策方案。</w:t>
      </w:r>
    </w:p>
    <w:p w14:paraId="5912CCB5">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写村民社交与乡村节奏恢复，说明地方酒馆的社会功能。</w:t>
      </w:r>
    </w:p>
    <w:p w14:paraId="39D137C8">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用“heart of countryside”作总结性呼吁，态度强烈但缺少具体衔接。</w:t>
      </w:r>
    </w:p>
    <w:p w14:paraId="3560F674">
      <w:pPr>
        <w:spacing w:after="120" w:line="276" w:lineRule="auto"/>
      </w:pPr>
    </w:p>
    <w:p w14:paraId="14777752">
      <w:pPr>
        <w:keepNext/>
        <w:spacing w:before="200" w:after="120"/>
      </w:pPr>
      <w:r>
        <w:rPr>
          <w:rFonts w:ascii="Times New Roman" w:hAnsi="Times New Roman" w:eastAsia="微软雅黑"/>
          <w:b/>
          <w:color w:val="000000"/>
          <w:sz w:val="23"/>
        </w:rPr>
        <w:t>41.【答案】C</w:t>
      </w:r>
    </w:p>
    <w:p w14:paraId="7A525D7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第二段段末；第三段开始写镇长和村委会。</w:t>
      </w:r>
    </w:p>
    <w:p w14:paraId="3510791B">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空前说村民来酒馆不只是为了食物，并交代酒馆重开；【C】中 happy it’s open again 直接承接重开，而 village like this 又把话题引向乡村公共生活。第三段的 mayor、social fabric 和 village life 正是在解释这种情感背后的公共价值。</w:t>
      </w:r>
    </w:p>
    <w:p w14:paraId="7CD3FE78">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F7DB3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tblHeader/>
          <w:jc w:val="center"/>
        </w:trPr>
        <w:tc>
          <w:tcPr>
            <w:tcW w:w="936" w:type="dxa"/>
            <w:shd w:val="clear" w:color="auto" w:fill="1F4E79"/>
          </w:tcPr>
          <w:p w14:paraId="750F2CF8">
            <w:pPr>
              <w:spacing w:after="40"/>
            </w:pPr>
            <w:r>
              <w:rPr>
                <w:rFonts w:ascii="Times New Roman" w:hAnsi="Times New Roman" w:eastAsia="微软雅黑"/>
                <w:b/>
                <w:color w:val="FFFFFF"/>
                <w:sz w:val="20"/>
              </w:rPr>
              <w:t>选项</w:t>
            </w:r>
          </w:p>
        </w:tc>
        <w:tc>
          <w:tcPr>
            <w:tcW w:w="1224" w:type="dxa"/>
            <w:shd w:val="clear" w:color="auto" w:fill="1F4E79"/>
          </w:tcPr>
          <w:p w14:paraId="786C31E7">
            <w:pPr>
              <w:spacing w:after="40"/>
            </w:pPr>
            <w:r>
              <w:rPr>
                <w:rFonts w:ascii="Times New Roman" w:hAnsi="Times New Roman" w:eastAsia="微软雅黑"/>
                <w:b/>
                <w:color w:val="FFFFFF"/>
                <w:sz w:val="20"/>
              </w:rPr>
              <w:t>判断</w:t>
            </w:r>
          </w:p>
        </w:tc>
        <w:tc>
          <w:tcPr>
            <w:tcW w:w="7344" w:type="dxa"/>
            <w:shd w:val="clear" w:color="auto" w:fill="1F4E79"/>
          </w:tcPr>
          <w:p w14:paraId="3942D2BD">
            <w:pPr>
              <w:spacing w:after="40"/>
            </w:pPr>
            <w:r>
              <w:rPr>
                <w:rFonts w:ascii="Times New Roman" w:hAnsi="Times New Roman" w:eastAsia="微软雅黑"/>
                <w:b/>
                <w:color w:val="FFFFFF"/>
                <w:sz w:val="20"/>
              </w:rPr>
              <w:t>理由</w:t>
            </w:r>
          </w:p>
        </w:tc>
      </w:tr>
      <w:tr w14:paraId="37F22F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10FCB3A">
            <w:pPr>
              <w:spacing w:after="40" w:line="259" w:lineRule="auto"/>
            </w:pPr>
            <w:r>
              <w:rPr>
                <w:rFonts w:ascii="Times New Roman" w:hAnsi="Times New Roman" w:eastAsia="微软雅黑"/>
                <w:b w:val="0"/>
                <w:color w:val="000000"/>
                <w:sz w:val="19"/>
              </w:rPr>
              <w:t>A</w:t>
            </w:r>
          </w:p>
        </w:tc>
        <w:tc>
          <w:tcPr>
            <w:tcW w:w="1224" w:type="dxa"/>
          </w:tcPr>
          <w:p w14:paraId="6C59A3A4">
            <w:pPr>
              <w:spacing w:after="40" w:line="259" w:lineRule="auto"/>
            </w:pPr>
            <w:r>
              <w:rPr>
                <w:rFonts w:ascii="Times New Roman" w:hAnsi="Times New Roman" w:eastAsia="微软雅黑"/>
                <w:b w:val="0"/>
                <w:color w:val="000000"/>
                <w:sz w:val="19"/>
              </w:rPr>
              <w:t>不能选</w:t>
            </w:r>
          </w:p>
        </w:tc>
        <w:tc>
          <w:tcPr>
            <w:tcW w:w="7344" w:type="dxa"/>
          </w:tcPr>
          <w:p w14:paraId="36160E19">
            <w:pPr>
              <w:spacing w:after="40" w:line="259" w:lineRule="auto"/>
            </w:pPr>
            <w:r>
              <w:rPr>
                <w:rFonts w:ascii="Times New Roman" w:hAnsi="Times New Roman" w:eastAsia="微软雅黑"/>
                <w:b w:val="0"/>
                <w:color w:val="000000"/>
                <w:sz w:val="19"/>
              </w:rPr>
              <w:t>全国关闭后果应出现在第四段数据之后。</w:t>
            </w:r>
          </w:p>
        </w:tc>
      </w:tr>
      <w:tr w14:paraId="71BCA5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3568476">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269440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6899FC6">
            <w:pPr>
              <w:spacing w:after="40" w:line="259" w:lineRule="auto"/>
            </w:pPr>
            <w:r>
              <w:rPr>
                <w:rFonts w:ascii="Times New Roman" w:hAnsi="Times New Roman" w:eastAsia="微软雅黑"/>
                <w:b w:val="0"/>
                <w:color w:val="000000"/>
                <w:sz w:val="19"/>
              </w:rPr>
              <w:t>社会生活价值虽相关，但更适合放在第45空的经营者语境。</w:t>
            </w:r>
          </w:p>
        </w:tc>
      </w:tr>
      <w:tr w14:paraId="0EEFFB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75E47C6">
            <w:pPr>
              <w:spacing w:after="40" w:line="259" w:lineRule="auto"/>
            </w:pPr>
            <w:r>
              <w:rPr>
                <w:rFonts w:ascii="Times New Roman" w:hAnsi="Times New Roman" w:eastAsia="微软雅黑"/>
                <w:b w:val="0"/>
                <w:color w:val="000000"/>
                <w:sz w:val="19"/>
              </w:rPr>
              <w:t>C</w:t>
            </w:r>
          </w:p>
        </w:tc>
        <w:tc>
          <w:tcPr>
            <w:tcW w:w="1224" w:type="dxa"/>
          </w:tcPr>
          <w:p w14:paraId="1B27B485">
            <w:pPr>
              <w:spacing w:after="40" w:line="259" w:lineRule="auto"/>
            </w:pPr>
            <w:r>
              <w:rPr>
                <w:rFonts w:ascii="Times New Roman" w:hAnsi="Times New Roman" w:eastAsia="微软雅黑"/>
                <w:b w:val="0"/>
                <w:color w:val="000000"/>
                <w:sz w:val="19"/>
              </w:rPr>
              <w:t>正确</w:t>
            </w:r>
          </w:p>
        </w:tc>
        <w:tc>
          <w:tcPr>
            <w:tcW w:w="7344" w:type="dxa"/>
          </w:tcPr>
          <w:p w14:paraId="435BFB8D">
            <w:pPr>
              <w:spacing w:after="40" w:line="259" w:lineRule="auto"/>
            </w:pPr>
            <w:r>
              <w:rPr>
                <w:rFonts w:ascii="Times New Roman" w:hAnsi="Times New Roman" w:eastAsia="微软雅黑"/>
                <w:b w:val="0"/>
                <w:color w:val="000000"/>
                <w:sz w:val="19"/>
              </w:rPr>
              <w:t>承接酒馆重开，并以村民欢迎引出社会功能。</w:t>
            </w:r>
          </w:p>
        </w:tc>
      </w:tr>
      <w:tr w14:paraId="343B3A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CEF01A1">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5DC3E16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AD69670">
            <w:pPr>
              <w:spacing w:after="40" w:line="259" w:lineRule="auto"/>
            </w:pPr>
            <w:r>
              <w:rPr>
                <w:rFonts w:ascii="Times New Roman" w:hAnsi="Times New Roman" w:eastAsia="微软雅黑"/>
                <w:b w:val="0"/>
                <w:color w:val="000000"/>
                <w:sz w:val="19"/>
              </w:rPr>
              <w:t>关闭的人口与消费原因应在第43空后展开。</w:t>
            </w:r>
          </w:p>
        </w:tc>
      </w:tr>
      <w:tr w14:paraId="3A62621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455F991">
            <w:pPr>
              <w:spacing w:after="40" w:line="259" w:lineRule="auto"/>
            </w:pPr>
            <w:r>
              <w:rPr>
                <w:rFonts w:ascii="Times New Roman" w:hAnsi="Times New Roman" w:eastAsia="微软雅黑"/>
                <w:b w:val="0"/>
                <w:color w:val="000000"/>
                <w:sz w:val="19"/>
              </w:rPr>
              <w:t>E</w:t>
            </w:r>
          </w:p>
        </w:tc>
        <w:tc>
          <w:tcPr>
            <w:tcW w:w="1224" w:type="dxa"/>
          </w:tcPr>
          <w:p w14:paraId="1E9F8A11">
            <w:pPr>
              <w:spacing w:after="40" w:line="259" w:lineRule="auto"/>
            </w:pPr>
            <w:r>
              <w:rPr>
                <w:rFonts w:ascii="Times New Roman" w:hAnsi="Times New Roman" w:eastAsia="微软雅黑"/>
                <w:b w:val="0"/>
                <w:color w:val="000000"/>
                <w:sz w:val="19"/>
              </w:rPr>
              <w:t>不能选</w:t>
            </w:r>
          </w:p>
        </w:tc>
        <w:tc>
          <w:tcPr>
            <w:tcW w:w="7344" w:type="dxa"/>
          </w:tcPr>
          <w:p w14:paraId="0F1823BA">
            <w:pPr>
              <w:spacing w:after="40" w:line="259" w:lineRule="auto"/>
            </w:pPr>
            <w:r>
              <w:rPr>
                <w:rFonts w:ascii="Times New Roman" w:hAnsi="Times New Roman" w:eastAsia="微软雅黑"/>
                <w:b w:val="0"/>
                <w:color w:val="000000"/>
                <w:sz w:val="19"/>
              </w:rPr>
              <w:t>监管改革属于后文政策讨论，不能承接本段现场场景。</w:t>
            </w:r>
          </w:p>
        </w:tc>
      </w:tr>
      <w:tr w14:paraId="2D124B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7FF6388">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55262E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6879645">
            <w:pPr>
              <w:spacing w:after="40" w:line="259" w:lineRule="auto"/>
            </w:pPr>
            <w:r>
              <w:rPr>
                <w:rFonts w:ascii="Times New Roman" w:hAnsi="Times New Roman" w:eastAsia="微软雅黑"/>
                <w:b w:val="0"/>
                <w:color w:val="000000"/>
                <w:sz w:val="19"/>
              </w:rPr>
              <w:t>“village life has returned”更适合第42空，且第三段已引出说话人。</w:t>
            </w:r>
          </w:p>
        </w:tc>
      </w:tr>
      <w:tr w14:paraId="0FADB2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2A04BE2">
            <w:pPr>
              <w:spacing w:after="40" w:line="259" w:lineRule="auto"/>
            </w:pPr>
            <w:r>
              <w:rPr>
                <w:rFonts w:ascii="Times New Roman" w:hAnsi="Times New Roman" w:eastAsia="微软雅黑"/>
                <w:b w:val="0"/>
                <w:color w:val="000000"/>
                <w:sz w:val="19"/>
              </w:rPr>
              <w:t>G</w:t>
            </w:r>
          </w:p>
        </w:tc>
        <w:tc>
          <w:tcPr>
            <w:tcW w:w="1224" w:type="dxa"/>
          </w:tcPr>
          <w:p w14:paraId="66032110">
            <w:pPr>
              <w:spacing w:after="40" w:line="259" w:lineRule="auto"/>
            </w:pPr>
            <w:r>
              <w:rPr>
                <w:rFonts w:ascii="Times New Roman" w:hAnsi="Times New Roman" w:eastAsia="微软雅黑"/>
                <w:b w:val="0"/>
                <w:color w:val="000000"/>
                <w:sz w:val="19"/>
              </w:rPr>
              <w:t>不能选</w:t>
            </w:r>
          </w:p>
        </w:tc>
        <w:tc>
          <w:tcPr>
            <w:tcW w:w="7344" w:type="dxa"/>
          </w:tcPr>
          <w:p w14:paraId="33102622">
            <w:pPr>
              <w:spacing w:after="40" w:line="259" w:lineRule="auto"/>
            </w:pPr>
            <w:r>
              <w:rPr>
                <w:rFonts w:ascii="Times New Roman" w:hAnsi="Times New Roman" w:eastAsia="微软雅黑"/>
                <w:b w:val="0"/>
                <w:color w:val="000000"/>
                <w:sz w:val="19"/>
              </w:rPr>
              <w:t>它是宏观口号，无法与第二段具体的重开细节双向衔接。</w:t>
            </w:r>
          </w:p>
        </w:tc>
      </w:tr>
    </w:tbl>
    <w:p w14:paraId="01C5134F">
      <w:pPr>
        <w:spacing w:after="160" w:line="276" w:lineRule="auto"/>
      </w:pPr>
    </w:p>
    <w:p w14:paraId="14BF2469">
      <w:pPr>
        <w:keepNext/>
        <w:spacing w:before="200" w:after="120"/>
      </w:pPr>
      <w:r>
        <w:rPr>
          <w:rFonts w:ascii="Times New Roman" w:hAnsi="Times New Roman" w:eastAsia="微软雅黑"/>
          <w:b/>
          <w:color w:val="000000"/>
          <w:sz w:val="23"/>
        </w:rPr>
        <w:t>42.【答案】F</w:t>
      </w:r>
    </w:p>
    <w:p w14:paraId="46BF0938">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第三段段末；第四段转向全国衰落。</w:t>
      </w:r>
    </w:p>
    <w:p w14:paraId="18659F7A">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 Chapuis 和村委会拯救了村里最后一家面向公众的业务；【F】开头的 People come here every morning 回应这种公共性，末句 village life has returned to its proper rhythm 收束地方复兴。第四段用 France’s…are in trouble 制造由局部成功到全国危机的转折。</w:t>
      </w:r>
    </w:p>
    <w:p w14:paraId="582FB790">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7106D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tblHeader/>
          <w:jc w:val="center"/>
        </w:trPr>
        <w:tc>
          <w:tcPr>
            <w:tcW w:w="936" w:type="dxa"/>
            <w:shd w:val="clear" w:color="auto" w:fill="1F4E79"/>
          </w:tcPr>
          <w:p w14:paraId="5D2868EE">
            <w:pPr>
              <w:spacing w:after="40"/>
            </w:pPr>
            <w:r>
              <w:rPr>
                <w:rFonts w:ascii="Times New Roman" w:hAnsi="Times New Roman" w:eastAsia="微软雅黑"/>
                <w:b/>
                <w:color w:val="FFFFFF"/>
                <w:sz w:val="20"/>
              </w:rPr>
              <w:t>选项</w:t>
            </w:r>
          </w:p>
        </w:tc>
        <w:tc>
          <w:tcPr>
            <w:tcW w:w="1224" w:type="dxa"/>
            <w:shd w:val="clear" w:color="auto" w:fill="1F4E79"/>
          </w:tcPr>
          <w:p w14:paraId="3A267BC8">
            <w:pPr>
              <w:spacing w:after="40"/>
            </w:pPr>
            <w:r>
              <w:rPr>
                <w:rFonts w:ascii="Times New Roman" w:hAnsi="Times New Roman" w:eastAsia="微软雅黑"/>
                <w:b/>
                <w:color w:val="FFFFFF"/>
                <w:sz w:val="20"/>
              </w:rPr>
              <w:t>判断</w:t>
            </w:r>
          </w:p>
        </w:tc>
        <w:tc>
          <w:tcPr>
            <w:tcW w:w="7344" w:type="dxa"/>
            <w:shd w:val="clear" w:color="auto" w:fill="1F4E79"/>
          </w:tcPr>
          <w:p w14:paraId="561484A5">
            <w:pPr>
              <w:spacing w:after="40"/>
            </w:pPr>
            <w:r>
              <w:rPr>
                <w:rFonts w:ascii="Times New Roman" w:hAnsi="Times New Roman" w:eastAsia="微软雅黑"/>
                <w:b/>
                <w:color w:val="FFFFFF"/>
                <w:sz w:val="20"/>
              </w:rPr>
              <w:t>理由</w:t>
            </w:r>
          </w:p>
        </w:tc>
      </w:tr>
      <w:tr w14:paraId="5DA393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898B4D5">
            <w:pPr>
              <w:spacing w:after="40" w:line="259" w:lineRule="auto"/>
            </w:pPr>
            <w:r>
              <w:rPr>
                <w:rFonts w:ascii="Times New Roman" w:hAnsi="Times New Roman" w:eastAsia="微软雅黑"/>
                <w:b w:val="0"/>
                <w:color w:val="000000"/>
                <w:sz w:val="19"/>
              </w:rPr>
              <w:t>A</w:t>
            </w:r>
          </w:p>
        </w:tc>
        <w:tc>
          <w:tcPr>
            <w:tcW w:w="1224" w:type="dxa"/>
          </w:tcPr>
          <w:p w14:paraId="3C214EDF">
            <w:pPr>
              <w:spacing w:after="40" w:line="259" w:lineRule="auto"/>
            </w:pPr>
            <w:r>
              <w:rPr>
                <w:rFonts w:ascii="Times New Roman" w:hAnsi="Times New Roman" w:eastAsia="微软雅黑"/>
                <w:b w:val="0"/>
                <w:color w:val="000000"/>
                <w:sz w:val="19"/>
              </w:rPr>
              <w:t>不能选</w:t>
            </w:r>
          </w:p>
        </w:tc>
        <w:tc>
          <w:tcPr>
            <w:tcW w:w="7344" w:type="dxa"/>
          </w:tcPr>
          <w:p w14:paraId="0FA52908">
            <w:pPr>
              <w:spacing w:after="40" w:line="259" w:lineRule="auto"/>
            </w:pPr>
            <w:r>
              <w:rPr>
                <w:rFonts w:ascii="Times New Roman" w:hAnsi="Times New Roman" w:eastAsia="微软雅黑"/>
                <w:b w:val="0"/>
                <w:color w:val="000000"/>
                <w:sz w:val="19"/>
              </w:rPr>
              <w:t>应放在全国关闭数据之后，说明后果。</w:t>
            </w:r>
          </w:p>
        </w:tc>
      </w:tr>
      <w:tr w14:paraId="4247EAE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6BFEFD1">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0F70A12">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25488B4">
            <w:pPr>
              <w:spacing w:after="40" w:line="259" w:lineRule="auto"/>
            </w:pPr>
            <w:r>
              <w:rPr>
                <w:rFonts w:ascii="Times New Roman" w:hAnsi="Times New Roman" w:eastAsia="微软雅黑"/>
                <w:b w:val="0"/>
                <w:color w:val="000000"/>
                <w:sz w:val="19"/>
              </w:rPr>
              <w:t>此处已经由 Chapuis 具体说明社会功能，重复推进不足。</w:t>
            </w:r>
          </w:p>
        </w:tc>
      </w:tr>
      <w:tr w14:paraId="66EEDFC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F2A3994">
            <w:pPr>
              <w:spacing w:after="40" w:line="259" w:lineRule="auto"/>
            </w:pPr>
            <w:r>
              <w:rPr>
                <w:rFonts w:ascii="Times New Roman" w:hAnsi="Times New Roman" w:eastAsia="微软雅黑"/>
                <w:b w:val="0"/>
                <w:color w:val="000000"/>
                <w:sz w:val="19"/>
              </w:rPr>
              <w:t>C</w:t>
            </w:r>
          </w:p>
        </w:tc>
        <w:tc>
          <w:tcPr>
            <w:tcW w:w="1224" w:type="dxa"/>
          </w:tcPr>
          <w:p w14:paraId="64EC53F5">
            <w:pPr>
              <w:spacing w:after="40" w:line="259" w:lineRule="auto"/>
            </w:pPr>
            <w:r>
              <w:rPr>
                <w:rFonts w:ascii="Times New Roman" w:hAnsi="Times New Roman" w:eastAsia="微软雅黑"/>
                <w:b w:val="0"/>
                <w:color w:val="000000"/>
                <w:sz w:val="19"/>
              </w:rPr>
              <w:t>不能选</w:t>
            </w:r>
          </w:p>
        </w:tc>
        <w:tc>
          <w:tcPr>
            <w:tcW w:w="7344" w:type="dxa"/>
          </w:tcPr>
          <w:p w14:paraId="478150FF">
            <w:pPr>
              <w:spacing w:after="40" w:line="259" w:lineRule="auto"/>
            </w:pPr>
            <w:r>
              <w:rPr>
                <w:rFonts w:ascii="Times New Roman" w:hAnsi="Times New Roman" w:eastAsia="微软雅黑"/>
                <w:b w:val="0"/>
                <w:color w:val="000000"/>
                <w:sz w:val="19"/>
              </w:rPr>
              <w:t>酒馆重开的欢迎已在第41空处理。</w:t>
            </w:r>
          </w:p>
        </w:tc>
      </w:tr>
      <w:tr w14:paraId="0AA67F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26A1212">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20B5B78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2D3E1B1">
            <w:pPr>
              <w:spacing w:after="40" w:line="259" w:lineRule="auto"/>
            </w:pPr>
            <w:r>
              <w:rPr>
                <w:rFonts w:ascii="Times New Roman" w:hAnsi="Times New Roman" w:eastAsia="微软雅黑"/>
                <w:b w:val="0"/>
                <w:color w:val="000000"/>
                <w:sz w:val="19"/>
              </w:rPr>
              <w:t>原因分析应在第四段提出 trouble 后才展开。</w:t>
            </w:r>
          </w:p>
        </w:tc>
      </w:tr>
      <w:tr w14:paraId="072B219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F75840C">
            <w:pPr>
              <w:spacing w:after="40" w:line="259" w:lineRule="auto"/>
            </w:pPr>
            <w:r>
              <w:rPr>
                <w:rFonts w:ascii="Times New Roman" w:hAnsi="Times New Roman" w:eastAsia="微软雅黑"/>
                <w:b w:val="0"/>
                <w:color w:val="000000"/>
                <w:sz w:val="19"/>
              </w:rPr>
              <w:t>E</w:t>
            </w:r>
          </w:p>
        </w:tc>
        <w:tc>
          <w:tcPr>
            <w:tcW w:w="1224" w:type="dxa"/>
          </w:tcPr>
          <w:p w14:paraId="062757B1">
            <w:pPr>
              <w:spacing w:after="40" w:line="259" w:lineRule="auto"/>
            </w:pPr>
            <w:r>
              <w:rPr>
                <w:rFonts w:ascii="Times New Roman" w:hAnsi="Times New Roman" w:eastAsia="微软雅黑"/>
                <w:b w:val="0"/>
                <w:color w:val="000000"/>
                <w:sz w:val="19"/>
              </w:rPr>
              <w:t>不能选</w:t>
            </w:r>
          </w:p>
        </w:tc>
        <w:tc>
          <w:tcPr>
            <w:tcW w:w="7344" w:type="dxa"/>
          </w:tcPr>
          <w:p w14:paraId="06D45EA6">
            <w:pPr>
              <w:spacing w:after="40" w:line="259" w:lineRule="auto"/>
            </w:pPr>
            <w:r>
              <w:rPr>
                <w:rFonts w:ascii="Times New Roman" w:hAnsi="Times New Roman" w:eastAsia="微软雅黑"/>
                <w:b w:val="0"/>
                <w:color w:val="000000"/>
                <w:sz w:val="19"/>
              </w:rPr>
              <w:t>政策建议与本段地方复兴不衔接。</w:t>
            </w:r>
          </w:p>
        </w:tc>
      </w:tr>
      <w:tr w14:paraId="6A5B62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B70FCE4">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7759FC09">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441FE498">
            <w:pPr>
              <w:spacing w:after="40" w:line="259" w:lineRule="auto"/>
            </w:pPr>
            <w:r>
              <w:rPr>
                <w:rFonts w:ascii="Times New Roman" w:hAnsi="Times New Roman" w:eastAsia="微软雅黑"/>
                <w:b w:val="0"/>
                <w:color w:val="000000"/>
                <w:sz w:val="19"/>
              </w:rPr>
              <w:t>承接拯救酒馆，并过渡到酒馆对乡村生活的意义。</w:t>
            </w:r>
          </w:p>
        </w:tc>
      </w:tr>
      <w:tr w14:paraId="181757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316392D">
            <w:pPr>
              <w:spacing w:after="40" w:line="259" w:lineRule="auto"/>
            </w:pPr>
            <w:r>
              <w:rPr>
                <w:rFonts w:ascii="Times New Roman" w:hAnsi="Times New Roman" w:eastAsia="微软雅黑"/>
                <w:b w:val="0"/>
                <w:color w:val="000000"/>
                <w:sz w:val="19"/>
              </w:rPr>
              <w:t>G</w:t>
            </w:r>
          </w:p>
        </w:tc>
        <w:tc>
          <w:tcPr>
            <w:tcW w:w="1224" w:type="dxa"/>
          </w:tcPr>
          <w:p w14:paraId="3C51BA6A">
            <w:pPr>
              <w:spacing w:after="40" w:line="259" w:lineRule="auto"/>
            </w:pPr>
            <w:r>
              <w:rPr>
                <w:rFonts w:ascii="Times New Roman" w:hAnsi="Times New Roman" w:eastAsia="微软雅黑"/>
                <w:b w:val="0"/>
                <w:color w:val="000000"/>
                <w:sz w:val="19"/>
              </w:rPr>
              <w:t>不能选</w:t>
            </w:r>
          </w:p>
        </w:tc>
        <w:tc>
          <w:tcPr>
            <w:tcW w:w="7344" w:type="dxa"/>
          </w:tcPr>
          <w:p w14:paraId="1DC8C87C">
            <w:pPr>
              <w:spacing w:after="40" w:line="259" w:lineRule="auto"/>
            </w:pPr>
            <w:r>
              <w:rPr>
                <w:rFonts w:ascii="Times New Roman" w:hAnsi="Times New Roman" w:eastAsia="微软雅黑"/>
                <w:b w:val="0"/>
                <w:color w:val="000000"/>
                <w:sz w:val="19"/>
              </w:rPr>
              <w:t>它概括乡村酒馆的意义，但不如【F】贴合说话人和段落脉络。</w:t>
            </w:r>
          </w:p>
        </w:tc>
      </w:tr>
    </w:tbl>
    <w:p w14:paraId="049F005D">
      <w:pPr>
        <w:spacing w:after="160" w:line="276" w:lineRule="auto"/>
      </w:pPr>
    </w:p>
    <w:p w14:paraId="3B66CFD1">
      <w:pPr>
        <w:keepNext/>
        <w:spacing w:before="200" w:after="120"/>
      </w:pPr>
      <w:r>
        <w:rPr>
          <w:rFonts w:ascii="Times New Roman" w:hAnsi="Times New Roman" w:eastAsia="微软雅黑"/>
          <w:b/>
          <w:color w:val="000000"/>
          <w:sz w:val="23"/>
        </w:rPr>
        <w:t>43.【答案】A</w:t>
      </w:r>
    </w:p>
    <w:p w14:paraId="0C22C25E">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第四段段末；第五段分析关闭原因。</w:t>
      </w:r>
    </w:p>
    <w:p w14:paraId="57A8C2E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前文给出 1900 年、1960 年代和今天的数据，说明 cafe-bistro 持续减少；【A】中的 closures 承接 shutting，并把影响落到 rural communities 与 elderly people。第五段首句 The reasons for the closures 随即转入原因分析，形成“现象—后果—原因”的推进。</w:t>
      </w:r>
    </w:p>
    <w:p w14:paraId="1E94870A">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5A49AB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11AFFE37">
            <w:pPr>
              <w:spacing w:after="40"/>
            </w:pPr>
            <w:r>
              <w:rPr>
                <w:rFonts w:ascii="Times New Roman" w:hAnsi="Times New Roman" w:eastAsia="微软雅黑"/>
                <w:b/>
                <w:color w:val="FFFFFF"/>
                <w:sz w:val="20"/>
              </w:rPr>
              <w:t>选项</w:t>
            </w:r>
          </w:p>
        </w:tc>
        <w:tc>
          <w:tcPr>
            <w:tcW w:w="1224" w:type="dxa"/>
            <w:shd w:val="clear" w:color="auto" w:fill="1F4E79"/>
          </w:tcPr>
          <w:p w14:paraId="4A457F53">
            <w:pPr>
              <w:spacing w:after="40"/>
            </w:pPr>
            <w:r>
              <w:rPr>
                <w:rFonts w:ascii="Times New Roman" w:hAnsi="Times New Roman" w:eastAsia="微软雅黑"/>
                <w:b/>
                <w:color w:val="FFFFFF"/>
                <w:sz w:val="20"/>
              </w:rPr>
              <w:t>判断</w:t>
            </w:r>
          </w:p>
        </w:tc>
        <w:tc>
          <w:tcPr>
            <w:tcW w:w="7344" w:type="dxa"/>
            <w:shd w:val="clear" w:color="auto" w:fill="1F4E79"/>
          </w:tcPr>
          <w:p w14:paraId="16C69892">
            <w:pPr>
              <w:spacing w:after="40"/>
            </w:pPr>
            <w:r>
              <w:rPr>
                <w:rFonts w:ascii="Times New Roman" w:hAnsi="Times New Roman" w:eastAsia="微软雅黑"/>
                <w:b/>
                <w:color w:val="FFFFFF"/>
                <w:sz w:val="20"/>
              </w:rPr>
              <w:t>理由</w:t>
            </w:r>
          </w:p>
        </w:tc>
      </w:tr>
      <w:tr w14:paraId="10B7F8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F8889EC">
            <w:pPr>
              <w:spacing w:after="40" w:line="259" w:lineRule="auto"/>
            </w:pPr>
            <w:r>
              <w:rPr>
                <w:rFonts w:ascii="Times New Roman" w:hAnsi="Times New Roman" w:eastAsia="微软雅黑"/>
                <w:b w:val="0"/>
                <w:color w:val="000000"/>
                <w:sz w:val="19"/>
              </w:rPr>
              <w:t>A</w:t>
            </w:r>
          </w:p>
        </w:tc>
        <w:tc>
          <w:tcPr>
            <w:tcW w:w="1224" w:type="dxa"/>
          </w:tcPr>
          <w:p w14:paraId="3C5E4538">
            <w:pPr>
              <w:spacing w:after="40" w:line="259" w:lineRule="auto"/>
            </w:pPr>
            <w:r>
              <w:rPr>
                <w:rFonts w:ascii="Times New Roman" w:hAnsi="Times New Roman" w:eastAsia="微软雅黑"/>
                <w:b w:val="0"/>
                <w:color w:val="000000"/>
                <w:sz w:val="19"/>
              </w:rPr>
              <w:t>正确</w:t>
            </w:r>
          </w:p>
        </w:tc>
        <w:tc>
          <w:tcPr>
            <w:tcW w:w="7344" w:type="dxa"/>
          </w:tcPr>
          <w:p w14:paraId="7554764C">
            <w:pPr>
              <w:spacing w:after="40" w:line="259" w:lineRule="auto"/>
            </w:pPr>
            <w:r>
              <w:rPr>
                <w:rFonts w:ascii="Times New Roman" w:hAnsi="Times New Roman" w:eastAsia="微软雅黑"/>
                <w:b w:val="0"/>
                <w:color w:val="000000"/>
                <w:sz w:val="19"/>
              </w:rPr>
              <w:t>承接关闭数据，开启乡村社区受到的影响。</w:t>
            </w:r>
          </w:p>
        </w:tc>
      </w:tr>
      <w:tr w14:paraId="39C0F9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1EF9490">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50F4F47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C571ADF">
            <w:pPr>
              <w:spacing w:after="40" w:line="259" w:lineRule="auto"/>
            </w:pPr>
            <w:r>
              <w:rPr>
                <w:rFonts w:ascii="Times New Roman" w:hAnsi="Times New Roman" w:eastAsia="微软雅黑"/>
                <w:b w:val="0"/>
                <w:color w:val="000000"/>
                <w:sz w:val="19"/>
              </w:rPr>
              <w:t>社会生活缺失更适合后文讨论经营者与功能。</w:t>
            </w:r>
          </w:p>
        </w:tc>
      </w:tr>
      <w:tr w14:paraId="21284D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54391C9">
            <w:pPr>
              <w:spacing w:after="40" w:line="259" w:lineRule="auto"/>
            </w:pPr>
            <w:r>
              <w:rPr>
                <w:rFonts w:ascii="Times New Roman" w:hAnsi="Times New Roman" w:eastAsia="微软雅黑"/>
                <w:b w:val="0"/>
                <w:color w:val="000000"/>
                <w:sz w:val="19"/>
              </w:rPr>
              <w:t>C</w:t>
            </w:r>
          </w:p>
        </w:tc>
        <w:tc>
          <w:tcPr>
            <w:tcW w:w="1224" w:type="dxa"/>
          </w:tcPr>
          <w:p w14:paraId="4BA54D3F">
            <w:pPr>
              <w:spacing w:after="40" w:line="259" w:lineRule="auto"/>
            </w:pPr>
            <w:r>
              <w:rPr>
                <w:rFonts w:ascii="Times New Roman" w:hAnsi="Times New Roman" w:eastAsia="微软雅黑"/>
                <w:b w:val="0"/>
                <w:color w:val="000000"/>
                <w:sz w:val="19"/>
              </w:rPr>
              <w:t>不能选</w:t>
            </w:r>
          </w:p>
        </w:tc>
        <w:tc>
          <w:tcPr>
            <w:tcW w:w="7344" w:type="dxa"/>
          </w:tcPr>
          <w:p w14:paraId="7D0FA04F">
            <w:pPr>
              <w:spacing w:after="40" w:line="259" w:lineRule="auto"/>
            </w:pPr>
            <w:r>
              <w:rPr>
                <w:rFonts w:ascii="Times New Roman" w:hAnsi="Times New Roman" w:eastAsia="微软雅黑"/>
                <w:b w:val="0"/>
                <w:color w:val="000000"/>
                <w:sz w:val="19"/>
              </w:rPr>
              <w:t>酒馆重开属于前文个案，不能放在全国数据后。</w:t>
            </w:r>
          </w:p>
        </w:tc>
      </w:tr>
      <w:tr w14:paraId="0D5847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1F84685">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F7C9D6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2492515">
            <w:pPr>
              <w:spacing w:after="40" w:line="259" w:lineRule="auto"/>
            </w:pPr>
            <w:r>
              <w:rPr>
                <w:rFonts w:ascii="Times New Roman" w:hAnsi="Times New Roman" w:eastAsia="微软雅黑"/>
                <w:b w:val="0"/>
                <w:color w:val="000000"/>
                <w:sz w:val="19"/>
              </w:rPr>
              <w:t>它是第44空的具体原因，不应提前出现在原因段前。</w:t>
            </w:r>
          </w:p>
        </w:tc>
      </w:tr>
      <w:tr w14:paraId="4FA019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C2C04DA">
            <w:pPr>
              <w:spacing w:after="40" w:line="259" w:lineRule="auto"/>
            </w:pPr>
            <w:r>
              <w:rPr>
                <w:rFonts w:ascii="Times New Roman" w:hAnsi="Times New Roman" w:eastAsia="微软雅黑"/>
                <w:b w:val="0"/>
                <w:color w:val="000000"/>
                <w:sz w:val="19"/>
              </w:rPr>
              <w:t>E</w:t>
            </w:r>
          </w:p>
        </w:tc>
        <w:tc>
          <w:tcPr>
            <w:tcW w:w="1224" w:type="dxa"/>
          </w:tcPr>
          <w:p w14:paraId="4C2A565C">
            <w:pPr>
              <w:spacing w:after="40" w:line="259" w:lineRule="auto"/>
            </w:pPr>
            <w:r>
              <w:rPr>
                <w:rFonts w:ascii="Times New Roman" w:hAnsi="Times New Roman" w:eastAsia="微软雅黑"/>
                <w:b w:val="0"/>
                <w:color w:val="000000"/>
                <w:sz w:val="19"/>
              </w:rPr>
              <w:t>不能选</w:t>
            </w:r>
          </w:p>
        </w:tc>
        <w:tc>
          <w:tcPr>
            <w:tcW w:w="7344" w:type="dxa"/>
          </w:tcPr>
          <w:p w14:paraId="415DEF5F">
            <w:pPr>
              <w:spacing w:after="40" w:line="259" w:lineRule="auto"/>
            </w:pPr>
            <w:r>
              <w:rPr>
                <w:rFonts w:ascii="Times New Roman" w:hAnsi="Times New Roman" w:eastAsia="微软雅黑"/>
                <w:b w:val="0"/>
                <w:color w:val="000000"/>
                <w:sz w:val="19"/>
              </w:rPr>
              <w:t>监管建议是解决方案，不能衔接关闭数据。</w:t>
            </w:r>
          </w:p>
        </w:tc>
      </w:tr>
      <w:tr w14:paraId="5B08A3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84B28D0">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242760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C3D6EBF">
            <w:pPr>
              <w:spacing w:after="40" w:line="259" w:lineRule="auto"/>
            </w:pPr>
            <w:r>
              <w:rPr>
                <w:rFonts w:ascii="Times New Roman" w:hAnsi="Times New Roman" w:eastAsia="微软雅黑"/>
                <w:b w:val="0"/>
                <w:color w:val="000000"/>
                <w:sz w:val="19"/>
              </w:rPr>
              <w:t>乡村节奏恢复与全国衰落方向相反。</w:t>
            </w:r>
          </w:p>
        </w:tc>
      </w:tr>
      <w:tr w14:paraId="4778A9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BF5D3D0">
            <w:pPr>
              <w:spacing w:after="40" w:line="259" w:lineRule="auto"/>
            </w:pPr>
            <w:r>
              <w:rPr>
                <w:rFonts w:ascii="Times New Roman" w:hAnsi="Times New Roman" w:eastAsia="微软雅黑"/>
                <w:b w:val="0"/>
                <w:color w:val="000000"/>
                <w:sz w:val="19"/>
              </w:rPr>
              <w:t>G</w:t>
            </w:r>
          </w:p>
        </w:tc>
        <w:tc>
          <w:tcPr>
            <w:tcW w:w="1224" w:type="dxa"/>
          </w:tcPr>
          <w:p w14:paraId="4E08930E">
            <w:pPr>
              <w:spacing w:after="40" w:line="259" w:lineRule="auto"/>
            </w:pPr>
            <w:r>
              <w:rPr>
                <w:rFonts w:ascii="Times New Roman" w:hAnsi="Times New Roman" w:eastAsia="微软雅黑"/>
                <w:b w:val="0"/>
                <w:color w:val="000000"/>
                <w:sz w:val="19"/>
              </w:rPr>
              <w:t>不能选</w:t>
            </w:r>
          </w:p>
        </w:tc>
        <w:tc>
          <w:tcPr>
            <w:tcW w:w="7344" w:type="dxa"/>
          </w:tcPr>
          <w:p w14:paraId="53C27526">
            <w:pPr>
              <w:spacing w:after="40" w:line="259" w:lineRule="auto"/>
            </w:pPr>
            <w:r>
              <w:rPr>
                <w:rFonts w:ascii="Times New Roman" w:hAnsi="Times New Roman" w:eastAsia="微软雅黑"/>
                <w:b w:val="0"/>
                <w:color w:val="000000"/>
                <w:sz w:val="19"/>
              </w:rPr>
              <w:t>口号式总结无法承接具体数字并开启原因分析。</w:t>
            </w:r>
          </w:p>
        </w:tc>
      </w:tr>
    </w:tbl>
    <w:p w14:paraId="5722DF08">
      <w:pPr>
        <w:spacing w:after="160" w:line="276" w:lineRule="auto"/>
      </w:pPr>
    </w:p>
    <w:p w14:paraId="594E8437">
      <w:pPr>
        <w:keepNext/>
        <w:spacing w:before="200" w:after="120"/>
      </w:pPr>
      <w:r>
        <w:rPr>
          <w:rFonts w:ascii="Times New Roman" w:hAnsi="Times New Roman" w:eastAsia="微软雅黑"/>
          <w:b/>
          <w:color w:val="000000"/>
          <w:sz w:val="23"/>
        </w:rPr>
        <w:t>44.【答案】D</w:t>
      </w:r>
    </w:p>
    <w:p w14:paraId="4E48580A">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第五段段末；第六段补充经营者问题。</w:t>
      </w:r>
    </w:p>
    <w:p w14:paraId="64C93CE5">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空前说关闭原因包括经济和社会两类；【D】具体展开人口减少、居家娱乐和饮酒量下降三类变化，正是 sociological 与 economic 的证据。第六段 Finding people…is also a problem 用 also 表明又在补充另一类原因。</w:t>
      </w:r>
    </w:p>
    <w:p w14:paraId="20E952DC">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FD91B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0279A69F">
            <w:pPr>
              <w:spacing w:after="40"/>
            </w:pPr>
            <w:r>
              <w:rPr>
                <w:rFonts w:ascii="Times New Roman" w:hAnsi="Times New Roman" w:eastAsia="微软雅黑"/>
                <w:b/>
                <w:color w:val="FFFFFF"/>
                <w:sz w:val="20"/>
              </w:rPr>
              <w:t>选项</w:t>
            </w:r>
          </w:p>
        </w:tc>
        <w:tc>
          <w:tcPr>
            <w:tcW w:w="1224" w:type="dxa"/>
            <w:shd w:val="clear" w:color="auto" w:fill="1F4E79"/>
          </w:tcPr>
          <w:p w14:paraId="573ED499">
            <w:pPr>
              <w:spacing w:after="40"/>
            </w:pPr>
            <w:r>
              <w:rPr>
                <w:rFonts w:ascii="Times New Roman" w:hAnsi="Times New Roman" w:eastAsia="微软雅黑"/>
                <w:b/>
                <w:color w:val="FFFFFF"/>
                <w:sz w:val="20"/>
              </w:rPr>
              <w:t>判断</w:t>
            </w:r>
          </w:p>
        </w:tc>
        <w:tc>
          <w:tcPr>
            <w:tcW w:w="7344" w:type="dxa"/>
            <w:shd w:val="clear" w:color="auto" w:fill="1F4E79"/>
          </w:tcPr>
          <w:p w14:paraId="44CC0B90">
            <w:pPr>
              <w:spacing w:after="40"/>
            </w:pPr>
            <w:r>
              <w:rPr>
                <w:rFonts w:ascii="Times New Roman" w:hAnsi="Times New Roman" w:eastAsia="微软雅黑"/>
                <w:b/>
                <w:color w:val="FFFFFF"/>
                <w:sz w:val="20"/>
              </w:rPr>
              <w:t>理由</w:t>
            </w:r>
          </w:p>
        </w:tc>
      </w:tr>
      <w:tr w14:paraId="5EE1E1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0B78F8B">
            <w:pPr>
              <w:spacing w:after="40" w:line="259" w:lineRule="auto"/>
            </w:pPr>
            <w:r>
              <w:rPr>
                <w:rFonts w:ascii="Times New Roman" w:hAnsi="Times New Roman" w:eastAsia="微软雅黑"/>
                <w:b w:val="0"/>
                <w:color w:val="000000"/>
                <w:sz w:val="19"/>
              </w:rPr>
              <w:t>A</w:t>
            </w:r>
          </w:p>
        </w:tc>
        <w:tc>
          <w:tcPr>
            <w:tcW w:w="1224" w:type="dxa"/>
          </w:tcPr>
          <w:p w14:paraId="74FF7EA5">
            <w:pPr>
              <w:spacing w:after="40" w:line="259" w:lineRule="auto"/>
            </w:pPr>
            <w:r>
              <w:rPr>
                <w:rFonts w:ascii="Times New Roman" w:hAnsi="Times New Roman" w:eastAsia="微软雅黑"/>
                <w:b w:val="0"/>
                <w:color w:val="000000"/>
                <w:sz w:val="19"/>
              </w:rPr>
              <w:t>不能选</w:t>
            </w:r>
          </w:p>
        </w:tc>
        <w:tc>
          <w:tcPr>
            <w:tcW w:w="7344" w:type="dxa"/>
          </w:tcPr>
          <w:p w14:paraId="485C94C7">
            <w:pPr>
              <w:spacing w:after="40" w:line="259" w:lineRule="auto"/>
            </w:pPr>
            <w:r>
              <w:rPr>
                <w:rFonts w:ascii="Times New Roman" w:hAnsi="Times New Roman" w:eastAsia="微软雅黑"/>
                <w:b w:val="0"/>
                <w:color w:val="000000"/>
                <w:sz w:val="19"/>
              </w:rPr>
              <w:t>关闭后果已在第43空完成。</w:t>
            </w:r>
          </w:p>
        </w:tc>
      </w:tr>
      <w:tr w14:paraId="34FE3FD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38E9B69">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653159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EDF2431">
            <w:pPr>
              <w:spacing w:after="40" w:line="259" w:lineRule="auto"/>
            </w:pPr>
            <w:r>
              <w:rPr>
                <w:rFonts w:ascii="Times New Roman" w:hAnsi="Times New Roman" w:eastAsia="微软雅黑"/>
                <w:b w:val="0"/>
                <w:color w:val="000000"/>
                <w:sz w:val="19"/>
              </w:rPr>
              <w:t>此处需要先解释原因，再进入经营者短缺。</w:t>
            </w:r>
          </w:p>
        </w:tc>
      </w:tr>
      <w:tr w14:paraId="603C3C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7AE2D3E">
            <w:pPr>
              <w:spacing w:after="40" w:line="259" w:lineRule="auto"/>
            </w:pPr>
            <w:r>
              <w:rPr>
                <w:rFonts w:ascii="Times New Roman" w:hAnsi="Times New Roman" w:eastAsia="微软雅黑"/>
                <w:b w:val="0"/>
                <w:color w:val="000000"/>
                <w:sz w:val="19"/>
              </w:rPr>
              <w:t>C</w:t>
            </w:r>
          </w:p>
        </w:tc>
        <w:tc>
          <w:tcPr>
            <w:tcW w:w="1224" w:type="dxa"/>
          </w:tcPr>
          <w:p w14:paraId="470ED8DD">
            <w:pPr>
              <w:spacing w:after="40" w:line="259" w:lineRule="auto"/>
            </w:pPr>
            <w:r>
              <w:rPr>
                <w:rFonts w:ascii="Times New Roman" w:hAnsi="Times New Roman" w:eastAsia="微软雅黑"/>
                <w:b w:val="0"/>
                <w:color w:val="000000"/>
                <w:sz w:val="19"/>
              </w:rPr>
              <w:t>不能选</w:t>
            </w:r>
          </w:p>
        </w:tc>
        <w:tc>
          <w:tcPr>
            <w:tcW w:w="7344" w:type="dxa"/>
          </w:tcPr>
          <w:p w14:paraId="3454B8C1">
            <w:pPr>
              <w:spacing w:after="40" w:line="259" w:lineRule="auto"/>
            </w:pPr>
            <w:r>
              <w:rPr>
                <w:rFonts w:ascii="Times New Roman" w:hAnsi="Times New Roman" w:eastAsia="微软雅黑"/>
                <w:b w:val="0"/>
                <w:color w:val="000000"/>
                <w:sz w:val="19"/>
              </w:rPr>
              <w:t>个体酒馆重开不能解释全国性减少。</w:t>
            </w:r>
          </w:p>
        </w:tc>
      </w:tr>
      <w:tr w14:paraId="7A86A0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4763C30">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4E1D6FF3">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43A10336">
            <w:pPr>
              <w:spacing w:after="40" w:line="259" w:lineRule="auto"/>
            </w:pPr>
            <w:r>
              <w:rPr>
                <w:rFonts w:ascii="Times New Roman" w:hAnsi="Times New Roman" w:eastAsia="微软雅黑"/>
                <w:b w:val="0"/>
                <w:color w:val="000000"/>
                <w:sz w:val="19"/>
              </w:rPr>
              <w:t>承接 economic and sociological，并列出具体社会变化。</w:t>
            </w:r>
          </w:p>
        </w:tc>
      </w:tr>
      <w:tr w14:paraId="36B7AB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A890B23">
            <w:pPr>
              <w:spacing w:after="40" w:line="259" w:lineRule="auto"/>
            </w:pPr>
            <w:r>
              <w:rPr>
                <w:rFonts w:ascii="Times New Roman" w:hAnsi="Times New Roman" w:eastAsia="微软雅黑"/>
                <w:b w:val="0"/>
                <w:color w:val="000000"/>
                <w:sz w:val="19"/>
              </w:rPr>
              <w:t>E</w:t>
            </w:r>
          </w:p>
        </w:tc>
        <w:tc>
          <w:tcPr>
            <w:tcW w:w="1224" w:type="dxa"/>
          </w:tcPr>
          <w:p w14:paraId="04AC2927">
            <w:pPr>
              <w:spacing w:after="40" w:line="259" w:lineRule="auto"/>
            </w:pPr>
            <w:r>
              <w:rPr>
                <w:rFonts w:ascii="Times New Roman" w:hAnsi="Times New Roman" w:eastAsia="微软雅黑"/>
                <w:b w:val="0"/>
                <w:color w:val="000000"/>
                <w:sz w:val="19"/>
              </w:rPr>
              <w:t>不能选</w:t>
            </w:r>
          </w:p>
        </w:tc>
        <w:tc>
          <w:tcPr>
            <w:tcW w:w="7344" w:type="dxa"/>
          </w:tcPr>
          <w:p w14:paraId="614D821D">
            <w:pPr>
              <w:spacing w:after="40" w:line="259" w:lineRule="auto"/>
            </w:pPr>
            <w:r>
              <w:rPr>
                <w:rFonts w:ascii="Times New Roman" w:hAnsi="Times New Roman" w:eastAsia="微软雅黑"/>
                <w:b w:val="0"/>
                <w:color w:val="000000"/>
                <w:sz w:val="19"/>
              </w:rPr>
              <w:t>监管建议不适合作为经济和社会原因的证据。</w:t>
            </w:r>
          </w:p>
        </w:tc>
      </w:tr>
      <w:tr w14:paraId="30C8AE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21113B8">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3A8BE9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E4BD84C">
            <w:pPr>
              <w:spacing w:after="40" w:line="259" w:lineRule="auto"/>
            </w:pPr>
            <w:r>
              <w:rPr>
                <w:rFonts w:ascii="Times New Roman" w:hAnsi="Times New Roman" w:eastAsia="微软雅黑"/>
                <w:b w:val="0"/>
                <w:color w:val="000000"/>
                <w:sz w:val="19"/>
              </w:rPr>
              <w:t>地方复兴不能说明乡村人口和消费习惯的变化。</w:t>
            </w:r>
          </w:p>
        </w:tc>
      </w:tr>
      <w:tr w14:paraId="280243C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256492B">
            <w:pPr>
              <w:spacing w:after="40" w:line="259" w:lineRule="auto"/>
            </w:pPr>
            <w:r>
              <w:rPr>
                <w:rFonts w:ascii="Times New Roman" w:hAnsi="Times New Roman" w:eastAsia="微软雅黑"/>
                <w:b w:val="0"/>
                <w:color w:val="000000"/>
                <w:sz w:val="19"/>
              </w:rPr>
              <w:t>G</w:t>
            </w:r>
          </w:p>
        </w:tc>
        <w:tc>
          <w:tcPr>
            <w:tcW w:w="1224" w:type="dxa"/>
          </w:tcPr>
          <w:p w14:paraId="6AE17DEA">
            <w:pPr>
              <w:spacing w:after="40" w:line="259" w:lineRule="auto"/>
            </w:pPr>
            <w:r>
              <w:rPr>
                <w:rFonts w:ascii="Times New Roman" w:hAnsi="Times New Roman" w:eastAsia="微软雅黑"/>
                <w:b w:val="0"/>
                <w:color w:val="000000"/>
                <w:sz w:val="19"/>
              </w:rPr>
              <w:t>不能选</w:t>
            </w:r>
          </w:p>
        </w:tc>
        <w:tc>
          <w:tcPr>
            <w:tcW w:w="7344" w:type="dxa"/>
          </w:tcPr>
          <w:p w14:paraId="5CCB489D">
            <w:pPr>
              <w:spacing w:after="40" w:line="259" w:lineRule="auto"/>
            </w:pPr>
            <w:r>
              <w:rPr>
                <w:rFonts w:ascii="Times New Roman" w:hAnsi="Times New Roman" w:eastAsia="微软雅黑"/>
                <w:b w:val="0"/>
                <w:color w:val="000000"/>
                <w:sz w:val="19"/>
              </w:rPr>
              <w:t>口号不能填补原因分析的证据链。</w:t>
            </w:r>
          </w:p>
        </w:tc>
      </w:tr>
    </w:tbl>
    <w:p w14:paraId="03722DF0">
      <w:pPr>
        <w:spacing w:after="160" w:line="276" w:lineRule="auto"/>
      </w:pPr>
    </w:p>
    <w:p w14:paraId="6B20257B">
      <w:pPr>
        <w:keepNext/>
        <w:spacing w:before="200" w:after="120"/>
      </w:pPr>
      <w:r>
        <w:rPr>
          <w:rFonts w:ascii="Times New Roman" w:hAnsi="Times New Roman" w:eastAsia="微软雅黑"/>
          <w:b/>
          <w:color w:val="000000"/>
          <w:sz w:val="23"/>
        </w:rPr>
        <w:t>45.【答案】B</w:t>
      </w:r>
    </w:p>
    <w:p w14:paraId="140AA27F">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第六段段末；第七段转入 Solène 的自救案例。</w:t>
      </w:r>
    </w:p>
    <w:p w14:paraId="238942C4">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 Fontaine 推动 Unesco 非物质文化遗产认定，希望吸引更多人接手；【B】先说不能接受社区失去社会生活，再列出酒馆中的聊天、相遇、辩论和阅读，解释其文化价值。第七段 Solène 设立协会经营家族酒馆，正是这种价值促使地方自救的实例。</w:t>
      </w:r>
    </w:p>
    <w:p w14:paraId="0854D61C">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32511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0D5A4AF1">
            <w:pPr>
              <w:spacing w:after="40"/>
            </w:pPr>
            <w:r>
              <w:rPr>
                <w:rFonts w:ascii="Times New Roman" w:hAnsi="Times New Roman" w:eastAsia="微软雅黑"/>
                <w:b/>
                <w:color w:val="FFFFFF"/>
                <w:sz w:val="20"/>
              </w:rPr>
              <w:t>选项</w:t>
            </w:r>
          </w:p>
        </w:tc>
        <w:tc>
          <w:tcPr>
            <w:tcW w:w="1224" w:type="dxa"/>
            <w:shd w:val="clear" w:color="auto" w:fill="1F4E79"/>
          </w:tcPr>
          <w:p w14:paraId="0AD34583">
            <w:pPr>
              <w:spacing w:after="40"/>
            </w:pPr>
            <w:r>
              <w:rPr>
                <w:rFonts w:ascii="Times New Roman" w:hAnsi="Times New Roman" w:eastAsia="微软雅黑"/>
                <w:b/>
                <w:color w:val="FFFFFF"/>
                <w:sz w:val="20"/>
              </w:rPr>
              <w:t>判断</w:t>
            </w:r>
          </w:p>
        </w:tc>
        <w:tc>
          <w:tcPr>
            <w:tcW w:w="7344" w:type="dxa"/>
            <w:shd w:val="clear" w:color="auto" w:fill="1F4E79"/>
          </w:tcPr>
          <w:p w14:paraId="05E4D027">
            <w:pPr>
              <w:spacing w:after="40"/>
            </w:pPr>
            <w:r>
              <w:rPr>
                <w:rFonts w:ascii="Times New Roman" w:hAnsi="Times New Roman" w:eastAsia="微软雅黑"/>
                <w:b/>
                <w:color w:val="FFFFFF"/>
                <w:sz w:val="20"/>
              </w:rPr>
              <w:t>理由</w:t>
            </w:r>
          </w:p>
        </w:tc>
      </w:tr>
      <w:tr w14:paraId="76D3AB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4EA9894">
            <w:pPr>
              <w:spacing w:after="40" w:line="259" w:lineRule="auto"/>
            </w:pPr>
            <w:r>
              <w:rPr>
                <w:rFonts w:ascii="Times New Roman" w:hAnsi="Times New Roman" w:eastAsia="微软雅黑"/>
                <w:b w:val="0"/>
                <w:color w:val="000000"/>
                <w:sz w:val="19"/>
              </w:rPr>
              <w:t>A</w:t>
            </w:r>
          </w:p>
        </w:tc>
        <w:tc>
          <w:tcPr>
            <w:tcW w:w="1224" w:type="dxa"/>
          </w:tcPr>
          <w:p w14:paraId="27234BA0">
            <w:pPr>
              <w:spacing w:after="40" w:line="259" w:lineRule="auto"/>
            </w:pPr>
            <w:r>
              <w:rPr>
                <w:rFonts w:ascii="Times New Roman" w:hAnsi="Times New Roman" w:eastAsia="微软雅黑"/>
                <w:b w:val="0"/>
                <w:color w:val="000000"/>
                <w:sz w:val="19"/>
              </w:rPr>
              <w:t>不能选</w:t>
            </w:r>
          </w:p>
        </w:tc>
        <w:tc>
          <w:tcPr>
            <w:tcW w:w="7344" w:type="dxa"/>
          </w:tcPr>
          <w:p w14:paraId="757F6D90">
            <w:pPr>
              <w:spacing w:after="40" w:line="259" w:lineRule="auto"/>
            </w:pPr>
            <w:r>
              <w:rPr>
                <w:rFonts w:ascii="Times New Roman" w:hAnsi="Times New Roman" w:eastAsia="微软雅黑"/>
                <w:b w:val="0"/>
                <w:color w:val="000000"/>
                <w:sz w:val="19"/>
              </w:rPr>
              <w:t>关闭后果已在第43空处理，不能重复回退。</w:t>
            </w:r>
          </w:p>
        </w:tc>
      </w:tr>
      <w:tr w14:paraId="6716AA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86ACA2A">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3B4123A">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0FF03DF8">
            <w:pPr>
              <w:spacing w:after="40" w:line="259" w:lineRule="auto"/>
            </w:pPr>
            <w:r>
              <w:rPr>
                <w:rFonts w:ascii="Times New Roman" w:hAnsi="Times New Roman" w:eastAsia="微软雅黑"/>
                <w:b w:val="0"/>
                <w:color w:val="000000"/>
                <w:sz w:val="19"/>
              </w:rPr>
              <w:t>把经营者短缺推进到酒馆的社会文化功能，并开启自救案例。</w:t>
            </w:r>
          </w:p>
        </w:tc>
      </w:tr>
      <w:tr w14:paraId="4A2A6EE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0FCF375">
            <w:pPr>
              <w:spacing w:after="40" w:line="259" w:lineRule="auto"/>
            </w:pPr>
            <w:r>
              <w:rPr>
                <w:rFonts w:ascii="Times New Roman" w:hAnsi="Times New Roman" w:eastAsia="微软雅黑"/>
                <w:b w:val="0"/>
                <w:color w:val="000000"/>
                <w:sz w:val="19"/>
              </w:rPr>
              <w:t>C</w:t>
            </w:r>
          </w:p>
        </w:tc>
        <w:tc>
          <w:tcPr>
            <w:tcW w:w="1224" w:type="dxa"/>
          </w:tcPr>
          <w:p w14:paraId="6882670A">
            <w:pPr>
              <w:spacing w:after="40" w:line="259" w:lineRule="auto"/>
            </w:pPr>
            <w:r>
              <w:rPr>
                <w:rFonts w:ascii="Times New Roman" w:hAnsi="Times New Roman" w:eastAsia="微软雅黑"/>
                <w:b w:val="0"/>
                <w:color w:val="000000"/>
                <w:sz w:val="19"/>
              </w:rPr>
              <w:t>不能选</w:t>
            </w:r>
          </w:p>
        </w:tc>
        <w:tc>
          <w:tcPr>
            <w:tcW w:w="7344" w:type="dxa"/>
          </w:tcPr>
          <w:p w14:paraId="2786C3F8">
            <w:pPr>
              <w:spacing w:after="40" w:line="259" w:lineRule="auto"/>
            </w:pPr>
            <w:r>
              <w:rPr>
                <w:rFonts w:ascii="Times New Roman" w:hAnsi="Times New Roman" w:eastAsia="微软雅黑"/>
                <w:b w:val="0"/>
                <w:color w:val="000000"/>
                <w:sz w:val="19"/>
              </w:rPr>
              <w:t>它属于第41空的重开场景。</w:t>
            </w:r>
          </w:p>
        </w:tc>
      </w:tr>
      <w:tr w14:paraId="36C755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7F0ECD4">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5C901BA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2FA4818">
            <w:pPr>
              <w:spacing w:after="40" w:line="259" w:lineRule="auto"/>
            </w:pPr>
            <w:r>
              <w:rPr>
                <w:rFonts w:ascii="Times New Roman" w:hAnsi="Times New Roman" w:eastAsia="微软雅黑"/>
                <w:b w:val="0"/>
                <w:color w:val="000000"/>
                <w:sz w:val="19"/>
              </w:rPr>
              <w:t>人口与消费原因已在第44空完成。</w:t>
            </w:r>
          </w:p>
        </w:tc>
      </w:tr>
      <w:tr w14:paraId="10692E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EE02A74">
            <w:pPr>
              <w:spacing w:after="40" w:line="259" w:lineRule="auto"/>
            </w:pPr>
            <w:r>
              <w:rPr>
                <w:rFonts w:ascii="Times New Roman" w:hAnsi="Times New Roman" w:eastAsia="微软雅黑"/>
                <w:b w:val="0"/>
                <w:color w:val="000000"/>
                <w:sz w:val="19"/>
              </w:rPr>
              <w:t>E</w:t>
            </w:r>
          </w:p>
        </w:tc>
        <w:tc>
          <w:tcPr>
            <w:tcW w:w="1224" w:type="dxa"/>
          </w:tcPr>
          <w:p w14:paraId="662ED997">
            <w:pPr>
              <w:spacing w:after="40" w:line="259" w:lineRule="auto"/>
            </w:pPr>
            <w:r>
              <w:rPr>
                <w:rFonts w:ascii="Times New Roman" w:hAnsi="Times New Roman" w:eastAsia="微软雅黑"/>
                <w:b w:val="0"/>
                <w:color w:val="000000"/>
                <w:sz w:val="19"/>
              </w:rPr>
              <w:t>不能选</w:t>
            </w:r>
          </w:p>
        </w:tc>
        <w:tc>
          <w:tcPr>
            <w:tcW w:w="7344" w:type="dxa"/>
          </w:tcPr>
          <w:p w14:paraId="2F07C560">
            <w:pPr>
              <w:spacing w:after="40" w:line="259" w:lineRule="auto"/>
            </w:pPr>
            <w:r>
              <w:rPr>
                <w:rFonts w:ascii="Times New Roman" w:hAnsi="Times New Roman" w:eastAsia="微软雅黑"/>
                <w:b w:val="0"/>
                <w:color w:val="000000"/>
                <w:sz w:val="19"/>
              </w:rPr>
              <w:t>监管建议虽与拯救酒馆相关，但不如【B】贴近社会生活功能。</w:t>
            </w:r>
          </w:p>
        </w:tc>
      </w:tr>
      <w:tr w14:paraId="5961B6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11063D0">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E0FD2E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64B6F3C">
            <w:pPr>
              <w:spacing w:after="40" w:line="259" w:lineRule="auto"/>
            </w:pPr>
            <w:r>
              <w:rPr>
                <w:rFonts w:ascii="Times New Roman" w:hAnsi="Times New Roman" w:eastAsia="微软雅黑"/>
                <w:b w:val="0"/>
                <w:color w:val="000000"/>
                <w:sz w:val="19"/>
              </w:rPr>
              <w:t>第42空已经用过类似地方社交表达。</w:t>
            </w:r>
          </w:p>
        </w:tc>
      </w:tr>
      <w:tr w14:paraId="0A12591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6CCF313">
            <w:pPr>
              <w:spacing w:after="40" w:line="259" w:lineRule="auto"/>
            </w:pPr>
            <w:r>
              <w:rPr>
                <w:rFonts w:ascii="Times New Roman" w:hAnsi="Times New Roman" w:eastAsia="微软雅黑"/>
                <w:b w:val="0"/>
                <w:color w:val="000000"/>
                <w:sz w:val="19"/>
              </w:rPr>
              <w:t>G</w:t>
            </w:r>
          </w:p>
        </w:tc>
        <w:tc>
          <w:tcPr>
            <w:tcW w:w="1224" w:type="dxa"/>
          </w:tcPr>
          <w:p w14:paraId="0AE7BC67">
            <w:pPr>
              <w:spacing w:after="40" w:line="259" w:lineRule="auto"/>
            </w:pPr>
            <w:r>
              <w:rPr>
                <w:rFonts w:ascii="Times New Roman" w:hAnsi="Times New Roman" w:eastAsia="微软雅黑"/>
                <w:b w:val="0"/>
                <w:color w:val="000000"/>
                <w:sz w:val="19"/>
              </w:rPr>
              <w:t>不能选</w:t>
            </w:r>
          </w:p>
        </w:tc>
        <w:tc>
          <w:tcPr>
            <w:tcW w:w="7344" w:type="dxa"/>
          </w:tcPr>
          <w:p w14:paraId="34F91FC8">
            <w:pPr>
              <w:spacing w:after="40" w:line="259" w:lineRule="auto"/>
            </w:pPr>
            <w:r>
              <w:rPr>
                <w:rFonts w:ascii="Times New Roman" w:hAnsi="Times New Roman" w:eastAsia="微软雅黑"/>
                <w:b w:val="0"/>
                <w:color w:val="000000"/>
                <w:sz w:val="19"/>
              </w:rPr>
              <w:t>它只保留呼吁，缺少与 Unesco 认定和经营者的双向衔接。</w:t>
            </w:r>
          </w:p>
        </w:tc>
      </w:tr>
    </w:tbl>
    <w:p w14:paraId="1634F5D8">
      <w:pPr>
        <w:spacing w:after="160" w:line="276" w:lineRule="auto"/>
      </w:pPr>
    </w:p>
    <w:p w14:paraId="4F62B738">
      <w:pPr>
        <w:keepNext/>
        <w:spacing w:before="200" w:after="120"/>
      </w:pPr>
      <w:r>
        <w:rPr>
          <w:rFonts w:ascii="Times New Roman" w:hAnsi="Times New Roman" w:eastAsia="微软雅黑"/>
          <w:b/>
          <w:color w:val="000000"/>
          <w:sz w:val="24"/>
        </w:rPr>
        <w:t>干扰项设置</w:t>
      </w:r>
    </w:p>
    <w:p w14:paraId="31C3AA81">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【E】利用 government 和 regulations 设置政策方案诱饵，但本篇主体是社会功能与地方自救；【G】复现 village bistro 和 countryside，态度鲜明，却缺少可验证的上下文衔接，属于总结性口号干扰。</w:t>
      </w:r>
    </w:p>
    <w:p w14:paraId="4E8C464E">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6A14CA47">
      <w:pPr>
        <w:spacing w:after="160" w:line="276" w:lineRule="auto"/>
        <w:rPr>
          <w:rFonts w:ascii="Times New Roman" w:hAnsi="Times New Roman" w:eastAsia="微软雅黑"/>
          <w:b w:val="0"/>
          <w:color w:val="000000"/>
          <w:sz w:val="21"/>
        </w:rPr>
      </w:pPr>
    </w:p>
    <w:p w14:paraId="7049CFA1">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9E09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2620</Words>
  <Characters>5557</Characters>
  <Lines>0</Lines>
  <Paragraphs>0</Paragraphs>
  <TotalTime>0</TotalTime>
  <ScaleCrop>false</ScaleCrop>
  <LinksUpToDate>false</LinksUpToDate>
  <CharactersWithSpaces>6341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2026-09-18T09:49:56Z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C2E60C346F7F46F08E2B35A29E0D55A8_12</vt:lpwstr>
  </property>
</Properties>
</file>